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2223" w14:textId="77777777" w:rsidR="00052ED9" w:rsidRDefault="00000000" w:rsidP="003C27BE">
      <w:pPr>
        <w:pStyle w:val="BodyText"/>
        <w:numPr>
          <w:ilvl w:val="0"/>
          <w:numId w:val="1"/>
        </w:numPr>
        <w:spacing w:before="1"/>
        <w:ind w:right="420"/>
        <w:jc w:val="both"/>
      </w:pPr>
      <w:r>
        <w:t>Hogan, Christopher; Gouranga Dasvarma and Udoy Saikia (2024) “Explaining the role of proximate and indirect determinants on fertility decline in Timor-Leste”</w:t>
      </w:r>
      <w:r>
        <w:rPr>
          <w:spacing w:val="-3"/>
        </w:rPr>
        <w:t xml:space="preserve"> </w:t>
      </w:r>
      <w:r>
        <w:t xml:space="preserve">. </w:t>
      </w:r>
      <w:r>
        <w:rPr>
          <w:i/>
        </w:rPr>
        <w:t xml:space="preserve">Asian Population Studies. </w:t>
      </w:r>
      <w:r>
        <w:t>Published Online: 16 Dec 2024.</w:t>
      </w:r>
    </w:p>
    <w:p w14:paraId="274A2224" w14:textId="77777777" w:rsidR="00052ED9" w:rsidRDefault="00000000" w:rsidP="003C27BE">
      <w:pPr>
        <w:pStyle w:val="BodyText"/>
        <w:numPr>
          <w:ilvl w:val="0"/>
          <w:numId w:val="1"/>
        </w:numPr>
        <w:spacing w:before="14"/>
        <w:ind w:right="421"/>
        <w:jc w:val="both"/>
      </w:pPr>
      <w:r>
        <w:t xml:space="preserve">Hossein, Maryamsadat; Gouranga Dasvarma; Udoy Saikia and Hajieh-Bibi Razeghi (2024) “Ultra-low fertility with traditional contraceptives - a case study of Tehran city”. </w:t>
      </w:r>
      <w:r>
        <w:rPr>
          <w:i/>
        </w:rPr>
        <w:t xml:space="preserve">Demography India. </w:t>
      </w:r>
      <w:r>
        <w:t>Volume 53, Issue 2. December 2024.</w:t>
      </w:r>
    </w:p>
    <w:p w14:paraId="274A2225" w14:textId="77777777" w:rsidR="00052ED9" w:rsidRDefault="00000000" w:rsidP="003C27BE">
      <w:pPr>
        <w:pStyle w:val="BodyText"/>
        <w:numPr>
          <w:ilvl w:val="0"/>
          <w:numId w:val="1"/>
        </w:numPr>
        <w:spacing w:before="15"/>
        <w:ind w:right="420"/>
        <w:jc w:val="both"/>
      </w:pPr>
      <w:r>
        <w:t xml:space="preserve">Gouranga Dasvarma. 2023. " COVID-19 and living arrangements in Australia”. </w:t>
      </w:r>
      <w:r>
        <w:rPr>
          <w:i/>
        </w:rPr>
        <w:t>The Demographer</w:t>
      </w:r>
      <w:r>
        <w:t>. Department of Demography, University of Colombo. Vol 1, Issue 1. pp. 56-69. ISSN 3030-7112.</w:t>
      </w:r>
    </w:p>
    <w:p w14:paraId="274A2226" w14:textId="77777777" w:rsidR="00052ED9" w:rsidRDefault="00000000" w:rsidP="003C27BE">
      <w:pPr>
        <w:pStyle w:val="BodyText"/>
        <w:numPr>
          <w:ilvl w:val="0"/>
          <w:numId w:val="1"/>
        </w:numPr>
        <w:spacing w:before="15" w:line="242" w:lineRule="auto"/>
        <w:ind w:right="61"/>
      </w:pPr>
      <w:r>
        <w:t>Gayatri,</w:t>
      </w:r>
      <w:r>
        <w:rPr>
          <w:spacing w:val="40"/>
        </w:rPr>
        <w:t xml:space="preserve"> </w:t>
      </w:r>
      <w:r>
        <w:t>M.,</w:t>
      </w:r>
      <w:r>
        <w:rPr>
          <w:spacing w:val="40"/>
        </w:rPr>
        <w:t xml:space="preserve"> </w:t>
      </w:r>
      <w:r>
        <w:t>Utomo,</w:t>
      </w:r>
      <w:r>
        <w:rPr>
          <w:spacing w:val="40"/>
        </w:rPr>
        <w:t xml:space="preserve"> </w:t>
      </w:r>
      <w:r>
        <w:t>B.,</w:t>
      </w:r>
      <w:r>
        <w:rPr>
          <w:spacing w:val="40"/>
        </w:rPr>
        <w:t xml:space="preserve"> </w:t>
      </w:r>
      <w:r>
        <w:t>Budhiharsana,</w:t>
      </w:r>
      <w:r>
        <w:rPr>
          <w:spacing w:val="40"/>
        </w:rPr>
        <w:t xml:space="preserve"> </w:t>
      </w:r>
      <w:r>
        <w:t>M.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Dasvarma,</w:t>
      </w:r>
      <w:r>
        <w:rPr>
          <w:spacing w:val="40"/>
        </w:rPr>
        <w:t xml:space="preserve"> </w:t>
      </w:r>
      <w:r>
        <w:t>G.</w:t>
      </w:r>
      <w:r>
        <w:rPr>
          <w:spacing w:val="40"/>
        </w:rPr>
        <w:t xml:space="preserve"> </w:t>
      </w:r>
      <w:r>
        <w:t>(2022).</w:t>
      </w:r>
      <w:r>
        <w:rPr>
          <w:spacing w:val="40"/>
        </w:rPr>
        <w:t xml:space="preserve"> </w:t>
      </w:r>
      <w:r>
        <w:t>“</w:t>
      </w:r>
      <w:hyperlink r:id="rId5">
        <w:r>
          <w:t>Pregnancy</w:t>
        </w:r>
        <w:r>
          <w:rPr>
            <w:spacing w:val="40"/>
          </w:rPr>
          <w:t xml:space="preserve"> </w:t>
        </w:r>
        <w:r>
          <w:t>resumption</w:t>
        </w:r>
      </w:hyperlink>
      <w:r>
        <w:t xml:space="preserve"> </w:t>
      </w:r>
      <w:hyperlink r:id="rId6">
        <w:r>
          <w:t>following contraceptive discontinuation: Hazard survival analysis of the Indonesia Demographic</w:t>
        </w:r>
      </w:hyperlink>
      <w:r>
        <w:t xml:space="preserve"> </w:t>
      </w:r>
      <w:bookmarkStart w:id="0" w:name="_Saikia,_U.,_Dodd,_M._M.,_Chalmers,_J.,"/>
      <w:bookmarkEnd w:id="0"/>
      <w:r>
        <w:fldChar w:fldCharType="begin"/>
      </w:r>
      <w:r>
        <w:instrText>HYPERLINK "https://researchnow.flinders.edu.au/en/publications/pregnancy-resumption-following-contraceptive-discontinuation-haza" \h</w:instrText>
      </w:r>
      <w:r>
        <w:fldChar w:fldCharType="separate"/>
      </w:r>
      <w:r>
        <w:t>and Health Survey Data 2007, 2012 and 2017</w:t>
      </w:r>
      <w:r>
        <w:fldChar w:fldCharType="end"/>
      </w:r>
      <w:r>
        <w:t xml:space="preserve">”. </w:t>
      </w:r>
      <w:hyperlink r:id="rId7">
        <w:r>
          <w:rPr>
            <w:i/>
            <w:u w:val="single"/>
          </w:rPr>
          <w:t>PLOS One.</w:t>
        </w:r>
      </w:hyperlink>
      <w:r>
        <w:rPr>
          <w:i/>
        </w:rPr>
        <w:t xml:space="preserve"> </w:t>
      </w:r>
      <w:r>
        <w:t xml:space="preserve">17, 2 February, 13 p., e0264318. Saikia, U., Dodd, M. M., Chalmers, J., Dasvarma, G. &amp; Schech, S., (2021). </w:t>
      </w:r>
      <w:r>
        <w:rPr>
          <w:i/>
        </w:rPr>
        <w:t>“</w:t>
      </w:r>
      <w:hyperlink r:id="rId8">
        <w:r>
          <w:t>COVID-19, individual</w:t>
        </w:r>
      </w:hyperlink>
      <w:r>
        <w:t xml:space="preserve"> </w:t>
      </w:r>
      <w:hyperlink r:id="rId9">
        <w:r>
          <w:t>wellbeing and multi-dimensional poverty in the state of South Australia</w:t>
        </w:r>
      </w:hyperlink>
      <w:r>
        <w:t xml:space="preserve">”. </w:t>
      </w:r>
      <w:hyperlink r:id="rId10">
        <w:r>
          <w:rPr>
            <w:i/>
          </w:rPr>
          <w:t>PLOS One</w:t>
        </w:r>
        <w:r>
          <w:rPr>
            <w:color w:val="0000FF"/>
          </w:rPr>
          <w:t>.</w:t>
        </w:r>
      </w:hyperlink>
      <w:r>
        <w:rPr>
          <w:color w:val="0000FF"/>
          <w:spacing w:val="-12"/>
        </w:rPr>
        <w:t xml:space="preserve"> </w:t>
      </w:r>
      <w:r>
        <w:t>16,</w:t>
      </w:r>
      <w:r>
        <w:rPr>
          <w:spacing w:val="-13"/>
        </w:rPr>
        <w:t xml:space="preserve"> </w:t>
      </w:r>
      <w:r>
        <w:t>6,</w:t>
      </w:r>
      <w:r>
        <w:rPr>
          <w:spacing w:val="-12"/>
        </w:rPr>
        <w:t xml:space="preserve"> </w:t>
      </w:r>
      <w:r>
        <w:t xml:space="preserve">17 p., </w:t>
      </w:r>
      <w:r>
        <w:rPr>
          <w:spacing w:val="-2"/>
        </w:rPr>
        <w:t>e0252898</w:t>
      </w:r>
    </w:p>
    <w:p w14:paraId="274A2227" w14:textId="77777777" w:rsidR="00052ED9" w:rsidRPr="003C27BE" w:rsidRDefault="00000000" w:rsidP="003C27BE">
      <w:pPr>
        <w:pStyle w:val="ListParagraph"/>
        <w:numPr>
          <w:ilvl w:val="0"/>
          <w:numId w:val="1"/>
        </w:numPr>
        <w:spacing w:before="87"/>
        <w:ind w:right="61"/>
        <w:rPr>
          <w:sz w:val="21"/>
        </w:rPr>
      </w:pPr>
      <w:r w:rsidRPr="003C27BE">
        <w:rPr>
          <w:sz w:val="21"/>
        </w:rPr>
        <w:t>Hosseini,</w:t>
      </w:r>
      <w:r w:rsidRPr="003C27BE">
        <w:rPr>
          <w:spacing w:val="-6"/>
          <w:sz w:val="21"/>
        </w:rPr>
        <w:t xml:space="preserve"> </w:t>
      </w:r>
      <w:r w:rsidRPr="003C27BE">
        <w:rPr>
          <w:sz w:val="21"/>
        </w:rPr>
        <w:t>M.,</w:t>
      </w:r>
      <w:r w:rsidRPr="003C27BE">
        <w:rPr>
          <w:spacing w:val="-3"/>
          <w:sz w:val="21"/>
        </w:rPr>
        <w:t xml:space="preserve"> </w:t>
      </w:r>
      <w:hyperlink r:id="rId11">
        <w:r w:rsidRPr="003C27BE">
          <w:rPr>
            <w:sz w:val="21"/>
          </w:rPr>
          <w:t>Saikia,</w:t>
        </w:r>
        <w:r w:rsidRPr="003C27BE">
          <w:rPr>
            <w:spacing w:val="-6"/>
            <w:sz w:val="21"/>
          </w:rPr>
          <w:t xml:space="preserve"> </w:t>
        </w:r>
        <w:r w:rsidRPr="003C27BE">
          <w:rPr>
            <w:sz w:val="21"/>
          </w:rPr>
          <w:t>U.</w:t>
        </w:r>
      </w:hyperlink>
      <w:r w:rsidRPr="003C27BE">
        <w:rPr>
          <w:spacing w:val="-3"/>
          <w:sz w:val="21"/>
        </w:rPr>
        <w:t xml:space="preserve"> </w:t>
      </w:r>
      <w:r w:rsidRPr="003C27BE">
        <w:rPr>
          <w:sz w:val="21"/>
        </w:rPr>
        <w:t>&amp;</w:t>
      </w:r>
      <w:r w:rsidRPr="003C27BE">
        <w:rPr>
          <w:spacing w:val="-4"/>
          <w:sz w:val="21"/>
        </w:rPr>
        <w:t xml:space="preserve"> </w:t>
      </w:r>
      <w:hyperlink r:id="rId12">
        <w:r w:rsidRPr="003C27BE">
          <w:rPr>
            <w:sz w:val="21"/>
          </w:rPr>
          <w:t>Dasvarma,</w:t>
        </w:r>
        <w:r w:rsidRPr="003C27BE">
          <w:rPr>
            <w:spacing w:val="-6"/>
            <w:sz w:val="21"/>
          </w:rPr>
          <w:t xml:space="preserve"> </w:t>
        </w:r>
        <w:r w:rsidRPr="003C27BE">
          <w:rPr>
            <w:sz w:val="21"/>
          </w:rPr>
          <w:t>G.</w:t>
        </w:r>
      </w:hyperlink>
      <w:r w:rsidRPr="003C27BE">
        <w:rPr>
          <w:sz w:val="21"/>
        </w:rPr>
        <w:t>(2021)</w:t>
      </w:r>
      <w:r w:rsidRPr="003C27BE">
        <w:rPr>
          <w:spacing w:val="-5"/>
          <w:sz w:val="21"/>
        </w:rPr>
        <w:t xml:space="preserve"> </w:t>
      </w:r>
      <w:r w:rsidRPr="003C27BE">
        <w:rPr>
          <w:sz w:val="21"/>
        </w:rPr>
        <w:t>“</w:t>
      </w:r>
      <w:hyperlink r:id="rId13">
        <w:r w:rsidRPr="003C27BE">
          <w:rPr>
            <w:i/>
            <w:sz w:val="21"/>
          </w:rPr>
          <w:t>The</w:t>
        </w:r>
        <w:r w:rsidRPr="003C27BE">
          <w:rPr>
            <w:i/>
            <w:spacing w:val="-7"/>
            <w:sz w:val="21"/>
          </w:rPr>
          <w:t xml:space="preserve"> </w:t>
        </w:r>
        <w:r w:rsidRPr="003C27BE">
          <w:rPr>
            <w:i/>
            <w:sz w:val="21"/>
          </w:rPr>
          <w:t>gap</w:t>
        </w:r>
        <w:r w:rsidRPr="003C27BE">
          <w:rPr>
            <w:i/>
            <w:spacing w:val="-4"/>
            <w:sz w:val="21"/>
          </w:rPr>
          <w:t xml:space="preserve"> </w:t>
        </w:r>
        <w:r w:rsidRPr="003C27BE">
          <w:rPr>
            <w:i/>
            <w:sz w:val="21"/>
          </w:rPr>
          <w:t>between</w:t>
        </w:r>
        <w:r w:rsidRPr="003C27BE">
          <w:rPr>
            <w:i/>
            <w:spacing w:val="-4"/>
            <w:sz w:val="21"/>
          </w:rPr>
          <w:t xml:space="preserve"> </w:t>
        </w:r>
        <w:r w:rsidRPr="003C27BE">
          <w:rPr>
            <w:i/>
            <w:sz w:val="21"/>
          </w:rPr>
          <w:t>desired</w:t>
        </w:r>
        <w:r w:rsidRPr="003C27BE">
          <w:rPr>
            <w:i/>
            <w:spacing w:val="-4"/>
            <w:sz w:val="21"/>
          </w:rPr>
          <w:t xml:space="preserve"> </w:t>
        </w:r>
        <w:r w:rsidRPr="003C27BE">
          <w:rPr>
            <w:i/>
            <w:sz w:val="21"/>
          </w:rPr>
          <w:t>and</w:t>
        </w:r>
        <w:r w:rsidRPr="003C27BE">
          <w:rPr>
            <w:i/>
            <w:spacing w:val="-4"/>
            <w:sz w:val="21"/>
          </w:rPr>
          <w:t xml:space="preserve"> </w:t>
        </w:r>
        <w:r w:rsidRPr="003C27BE">
          <w:rPr>
            <w:i/>
            <w:sz w:val="21"/>
          </w:rPr>
          <w:t>expected</w:t>
        </w:r>
        <w:r w:rsidRPr="003C27BE">
          <w:rPr>
            <w:i/>
            <w:spacing w:val="-4"/>
            <w:sz w:val="21"/>
          </w:rPr>
          <w:t xml:space="preserve"> </w:t>
        </w:r>
        <w:r w:rsidRPr="003C27BE">
          <w:rPr>
            <w:i/>
            <w:sz w:val="21"/>
          </w:rPr>
          <w:t>fertility</w:t>
        </w:r>
      </w:hyperlink>
      <w:r w:rsidRPr="003C27BE">
        <w:rPr>
          <w:i/>
          <w:sz w:val="21"/>
        </w:rPr>
        <w:t xml:space="preserve"> </w:t>
      </w:r>
      <w:hyperlink r:id="rId14">
        <w:r w:rsidRPr="003C27BE">
          <w:rPr>
            <w:i/>
            <w:sz w:val="21"/>
          </w:rPr>
          <w:t>among women in Iran: A case study of Tehran city</w:t>
        </w:r>
      </w:hyperlink>
      <w:r w:rsidRPr="003C27BE">
        <w:rPr>
          <w:sz w:val="21"/>
          <w:u w:val="single"/>
        </w:rPr>
        <w:t>”.</w:t>
      </w:r>
      <w:r w:rsidRPr="003C27BE">
        <w:rPr>
          <w:sz w:val="21"/>
        </w:rPr>
        <w:t xml:space="preserve"> </w:t>
      </w:r>
      <w:r w:rsidRPr="003C27BE">
        <w:rPr>
          <w:i/>
          <w:sz w:val="21"/>
        </w:rPr>
        <w:t>PLOS One</w:t>
      </w:r>
      <w:r w:rsidRPr="003C27BE">
        <w:rPr>
          <w:sz w:val="21"/>
        </w:rPr>
        <w:t>. 16, 9, 21 p., e0257128.</w:t>
      </w:r>
    </w:p>
    <w:p w14:paraId="274A222B" w14:textId="77777777" w:rsidR="00052ED9" w:rsidRPr="003C27BE" w:rsidRDefault="00000000" w:rsidP="003C27BE">
      <w:pPr>
        <w:pStyle w:val="ListParagraph"/>
        <w:numPr>
          <w:ilvl w:val="0"/>
          <w:numId w:val="1"/>
        </w:numPr>
        <w:ind w:right="62"/>
        <w:jc w:val="both"/>
        <w:rPr>
          <w:sz w:val="21"/>
        </w:rPr>
      </w:pPr>
      <w:r w:rsidRPr="003C27BE">
        <w:rPr>
          <w:i/>
          <w:sz w:val="21"/>
        </w:rPr>
        <w:t>Gayatri,</w:t>
      </w:r>
      <w:r w:rsidRPr="003C27BE">
        <w:rPr>
          <w:i/>
          <w:spacing w:val="-5"/>
          <w:sz w:val="21"/>
        </w:rPr>
        <w:t xml:space="preserve"> </w:t>
      </w:r>
      <w:r w:rsidRPr="003C27BE">
        <w:rPr>
          <w:i/>
          <w:sz w:val="21"/>
        </w:rPr>
        <w:t>M.</w:t>
      </w:r>
      <w:r w:rsidRPr="003C27BE">
        <w:rPr>
          <w:i/>
          <w:spacing w:val="-15"/>
          <w:sz w:val="21"/>
        </w:rPr>
        <w:t xml:space="preserve"> </w:t>
      </w:r>
      <w:r w:rsidRPr="003C27BE">
        <w:rPr>
          <w:i/>
          <w:sz w:val="21"/>
        </w:rPr>
        <w:t>&amp;</w:t>
      </w:r>
      <w:r w:rsidRPr="003C27BE">
        <w:rPr>
          <w:i/>
          <w:spacing w:val="-14"/>
          <w:sz w:val="21"/>
        </w:rPr>
        <w:t xml:space="preserve"> </w:t>
      </w:r>
      <w:hyperlink r:id="rId15">
        <w:r w:rsidRPr="003C27BE">
          <w:rPr>
            <w:i/>
            <w:sz w:val="21"/>
          </w:rPr>
          <w:t>Dasvarma,</w:t>
        </w:r>
        <w:r w:rsidRPr="003C27BE">
          <w:rPr>
            <w:i/>
            <w:spacing w:val="-2"/>
            <w:sz w:val="21"/>
          </w:rPr>
          <w:t xml:space="preserve"> </w:t>
        </w:r>
        <w:r w:rsidRPr="003C27BE">
          <w:rPr>
            <w:i/>
            <w:sz w:val="21"/>
          </w:rPr>
          <w:t>G.</w:t>
        </w:r>
        <w:r w:rsidRPr="003C27BE">
          <w:rPr>
            <w:i/>
            <w:spacing w:val="-6"/>
            <w:sz w:val="21"/>
          </w:rPr>
          <w:t xml:space="preserve"> </w:t>
        </w:r>
        <w:r w:rsidRPr="003C27BE">
          <w:rPr>
            <w:i/>
            <w:sz w:val="21"/>
          </w:rPr>
          <w:t>L.,</w:t>
        </w:r>
      </w:hyperlink>
      <w:r w:rsidRPr="003C27BE">
        <w:rPr>
          <w:i/>
          <w:sz w:val="21"/>
        </w:rPr>
        <w:t>(2020).</w:t>
      </w:r>
      <w:r w:rsidRPr="003C27BE">
        <w:rPr>
          <w:i/>
          <w:spacing w:val="-4"/>
          <w:sz w:val="21"/>
        </w:rPr>
        <w:t xml:space="preserve"> </w:t>
      </w:r>
      <w:r w:rsidRPr="003C27BE">
        <w:rPr>
          <w:sz w:val="21"/>
        </w:rPr>
        <w:t>“</w:t>
      </w:r>
      <w:hyperlink r:id="rId16">
        <w:r w:rsidRPr="003C27BE">
          <w:rPr>
            <w:sz w:val="21"/>
          </w:rPr>
          <w:t>Predictors</w:t>
        </w:r>
        <w:r w:rsidRPr="003C27BE">
          <w:rPr>
            <w:spacing w:val="-5"/>
            <w:sz w:val="21"/>
          </w:rPr>
          <w:t xml:space="preserve"> </w:t>
        </w:r>
        <w:r w:rsidRPr="003C27BE">
          <w:rPr>
            <w:sz w:val="21"/>
          </w:rPr>
          <w:t>of</w:t>
        </w:r>
        <w:r w:rsidRPr="003C27BE">
          <w:rPr>
            <w:spacing w:val="-6"/>
            <w:sz w:val="21"/>
          </w:rPr>
          <w:t xml:space="preserve"> </w:t>
        </w:r>
        <w:r w:rsidRPr="003C27BE">
          <w:rPr>
            <w:sz w:val="21"/>
          </w:rPr>
          <w:t>early</w:t>
        </w:r>
        <w:r w:rsidRPr="003C27BE">
          <w:rPr>
            <w:spacing w:val="-4"/>
            <w:sz w:val="21"/>
          </w:rPr>
          <w:t xml:space="preserve"> </w:t>
        </w:r>
        <w:r w:rsidRPr="003C27BE">
          <w:rPr>
            <w:sz w:val="21"/>
          </w:rPr>
          <w:t>initiation</w:t>
        </w:r>
        <w:r w:rsidRPr="003C27BE">
          <w:rPr>
            <w:spacing w:val="-5"/>
            <w:sz w:val="21"/>
          </w:rPr>
          <w:t xml:space="preserve"> </w:t>
        </w:r>
        <w:r w:rsidRPr="003C27BE">
          <w:rPr>
            <w:sz w:val="21"/>
          </w:rPr>
          <w:t>of</w:t>
        </w:r>
        <w:r w:rsidRPr="003C27BE">
          <w:rPr>
            <w:spacing w:val="-6"/>
            <w:sz w:val="21"/>
          </w:rPr>
          <w:t xml:space="preserve"> </w:t>
        </w:r>
        <w:r w:rsidRPr="003C27BE">
          <w:rPr>
            <w:sz w:val="21"/>
          </w:rPr>
          <w:t>breastfeeding</w:t>
        </w:r>
        <w:r w:rsidRPr="003C27BE">
          <w:rPr>
            <w:spacing w:val="-5"/>
            <w:sz w:val="21"/>
          </w:rPr>
          <w:t xml:space="preserve"> </w:t>
        </w:r>
        <w:r w:rsidRPr="003C27BE">
          <w:rPr>
            <w:sz w:val="21"/>
          </w:rPr>
          <w:t>in</w:t>
        </w:r>
        <w:r w:rsidRPr="003C27BE">
          <w:rPr>
            <w:spacing w:val="-5"/>
            <w:sz w:val="21"/>
          </w:rPr>
          <w:t xml:space="preserve"> </w:t>
        </w:r>
        <w:r w:rsidRPr="003C27BE">
          <w:rPr>
            <w:sz w:val="21"/>
          </w:rPr>
          <w:t>Indonesia:</w:t>
        </w:r>
        <w:r w:rsidRPr="003C27BE">
          <w:rPr>
            <w:spacing w:val="-6"/>
            <w:sz w:val="21"/>
          </w:rPr>
          <w:t xml:space="preserve"> </w:t>
        </w:r>
        <w:r w:rsidRPr="003C27BE">
          <w:rPr>
            <w:sz w:val="21"/>
          </w:rPr>
          <w:t>A</w:t>
        </w:r>
      </w:hyperlink>
      <w:r w:rsidRPr="003C27BE">
        <w:rPr>
          <w:sz w:val="21"/>
        </w:rPr>
        <w:t xml:space="preserve"> </w:t>
      </w:r>
      <w:hyperlink r:id="rId17">
        <w:r w:rsidRPr="003C27BE">
          <w:rPr>
            <w:sz w:val="21"/>
          </w:rPr>
          <w:t>population-based</w:t>
        </w:r>
        <w:r w:rsidRPr="003C27BE">
          <w:rPr>
            <w:spacing w:val="-4"/>
            <w:sz w:val="21"/>
          </w:rPr>
          <w:t xml:space="preserve"> </w:t>
        </w:r>
        <w:r w:rsidRPr="003C27BE">
          <w:rPr>
            <w:sz w:val="21"/>
          </w:rPr>
          <w:t>cross-sectional</w:t>
        </w:r>
        <w:r w:rsidRPr="003C27BE">
          <w:rPr>
            <w:spacing w:val="-3"/>
            <w:sz w:val="21"/>
          </w:rPr>
          <w:t xml:space="preserve"> </w:t>
        </w:r>
        <w:r w:rsidRPr="003C27BE">
          <w:rPr>
            <w:sz w:val="21"/>
          </w:rPr>
          <w:t>survey</w:t>
        </w:r>
      </w:hyperlink>
      <w:r w:rsidRPr="003C27BE">
        <w:rPr>
          <w:sz w:val="21"/>
        </w:rPr>
        <w:t>”.</w:t>
      </w:r>
      <w:r w:rsidRPr="003C27BE">
        <w:rPr>
          <w:spacing w:val="-5"/>
          <w:sz w:val="21"/>
        </w:rPr>
        <w:t xml:space="preserve"> </w:t>
      </w:r>
      <w:r w:rsidRPr="003C27BE">
        <w:rPr>
          <w:i/>
          <w:sz w:val="21"/>
        </w:rPr>
        <w:t>PLOS</w:t>
      </w:r>
      <w:r w:rsidRPr="003C27BE">
        <w:rPr>
          <w:i/>
          <w:spacing w:val="-3"/>
          <w:sz w:val="21"/>
        </w:rPr>
        <w:t xml:space="preserve"> </w:t>
      </w:r>
      <w:r w:rsidRPr="003C27BE">
        <w:rPr>
          <w:i/>
          <w:sz w:val="21"/>
        </w:rPr>
        <w:t>One</w:t>
      </w:r>
      <w:r w:rsidRPr="003C27BE">
        <w:rPr>
          <w:sz w:val="21"/>
        </w:rPr>
        <w:t>.</w:t>
      </w:r>
      <w:r w:rsidRPr="003C27BE">
        <w:rPr>
          <w:spacing w:val="-5"/>
          <w:sz w:val="21"/>
        </w:rPr>
        <w:t xml:space="preserve"> </w:t>
      </w:r>
      <w:r w:rsidRPr="003C27BE">
        <w:rPr>
          <w:sz w:val="21"/>
        </w:rPr>
        <w:t>15,</w:t>
      </w:r>
      <w:r w:rsidRPr="003C27BE">
        <w:rPr>
          <w:spacing w:val="-3"/>
          <w:sz w:val="21"/>
        </w:rPr>
        <w:t xml:space="preserve"> </w:t>
      </w:r>
      <w:r w:rsidRPr="003C27BE">
        <w:rPr>
          <w:sz w:val="21"/>
        </w:rPr>
        <w:t>9,</w:t>
      </w:r>
      <w:r w:rsidRPr="003C27BE">
        <w:rPr>
          <w:spacing w:val="-5"/>
          <w:sz w:val="21"/>
        </w:rPr>
        <w:t xml:space="preserve"> </w:t>
      </w:r>
      <w:r w:rsidRPr="003C27BE">
        <w:rPr>
          <w:sz w:val="21"/>
        </w:rPr>
        <w:t>15</w:t>
      </w:r>
      <w:r w:rsidRPr="003C27BE">
        <w:rPr>
          <w:spacing w:val="-1"/>
          <w:sz w:val="21"/>
        </w:rPr>
        <w:t xml:space="preserve"> </w:t>
      </w:r>
      <w:r w:rsidRPr="003C27BE">
        <w:rPr>
          <w:sz w:val="21"/>
        </w:rPr>
        <w:t>p.,</w:t>
      </w:r>
      <w:r w:rsidRPr="003C27BE">
        <w:rPr>
          <w:spacing w:val="-3"/>
          <w:sz w:val="21"/>
        </w:rPr>
        <w:t xml:space="preserve"> </w:t>
      </w:r>
      <w:r w:rsidRPr="003C27BE">
        <w:rPr>
          <w:sz w:val="21"/>
        </w:rPr>
        <w:t>e0239446.</w:t>
      </w:r>
    </w:p>
    <w:p w14:paraId="274A222C" w14:textId="77777777" w:rsidR="00052ED9" w:rsidRDefault="00000000" w:rsidP="003C27BE">
      <w:pPr>
        <w:pStyle w:val="BodyText"/>
        <w:numPr>
          <w:ilvl w:val="0"/>
          <w:numId w:val="1"/>
        </w:numPr>
        <w:spacing w:before="89"/>
        <w:ind w:right="420"/>
        <w:jc w:val="both"/>
      </w:pPr>
      <w:r>
        <w:t xml:space="preserve">Akhter, Sanzida, Gouranga Lal Dasvarma and Udoy Saikia (2020). “Reluctance of women of lower socio-economic status to use maternal healthcare services – Does only cost matter?” </w:t>
      </w:r>
      <w:r>
        <w:rPr>
          <w:i/>
        </w:rPr>
        <w:t xml:space="preserve">PLOS ONE </w:t>
      </w:r>
      <w:r>
        <w:t xml:space="preserve">15(9): e0239597. </w:t>
      </w:r>
      <w:hyperlink r:id="rId18">
        <w:r>
          <w:t>https://doi.org/10.1371/journal.pone.0239597</w:t>
        </w:r>
      </w:hyperlink>
    </w:p>
    <w:p w14:paraId="274A222D" w14:textId="77777777" w:rsidR="00052ED9" w:rsidRDefault="00000000" w:rsidP="003C27BE">
      <w:pPr>
        <w:pStyle w:val="BodyText"/>
        <w:numPr>
          <w:ilvl w:val="0"/>
          <w:numId w:val="1"/>
        </w:numPr>
        <w:spacing w:before="12"/>
        <w:ind w:right="421"/>
        <w:jc w:val="both"/>
      </w:pPr>
      <w:r>
        <w:t>Gayatri,</w:t>
      </w:r>
      <w:r>
        <w:rPr>
          <w:spacing w:val="-15"/>
        </w:rPr>
        <w:t xml:space="preserve"> </w:t>
      </w:r>
      <w:r>
        <w:t>Maria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Gouranga</w:t>
      </w:r>
      <w:r>
        <w:rPr>
          <w:spacing w:val="-14"/>
        </w:rPr>
        <w:t xml:space="preserve"> </w:t>
      </w:r>
      <w:r>
        <w:t>Lal</w:t>
      </w:r>
      <w:r>
        <w:rPr>
          <w:spacing w:val="-13"/>
        </w:rPr>
        <w:t xml:space="preserve"> </w:t>
      </w:r>
      <w:r>
        <w:t>Dasvarma</w:t>
      </w:r>
      <w:r>
        <w:rPr>
          <w:spacing w:val="-15"/>
        </w:rPr>
        <w:t xml:space="preserve"> </w:t>
      </w:r>
      <w:r>
        <w:t>(2020):</w:t>
      </w:r>
      <w:r>
        <w:rPr>
          <w:spacing w:val="-15"/>
        </w:rPr>
        <w:t xml:space="preserve"> </w:t>
      </w:r>
      <w:r>
        <w:t>“Predictors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early</w:t>
      </w:r>
      <w:r>
        <w:rPr>
          <w:spacing w:val="-13"/>
        </w:rPr>
        <w:t xml:space="preserve"> </w:t>
      </w:r>
      <w:r>
        <w:t>initiation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 xml:space="preserve">Indonesia: A population-based cross-sectional survey”. </w:t>
      </w:r>
      <w:r>
        <w:rPr>
          <w:i/>
        </w:rPr>
        <w:t>PLOS One</w:t>
      </w:r>
      <w:r>
        <w:t>.</w:t>
      </w:r>
    </w:p>
    <w:p w14:paraId="274A222E" w14:textId="77777777" w:rsidR="00052ED9" w:rsidRDefault="00000000" w:rsidP="003C27BE">
      <w:pPr>
        <w:pStyle w:val="BodyText"/>
        <w:numPr>
          <w:ilvl w:val="0"/>
          <w:numId w:val="1"/>
        </w:numPr>
        <w:spacing w:before="14"/>
        <w:ind w:right="417"/>
        <w:jc w:val="both"/>
      </w:pPr>
      <w:r>
        <w:rPr>
          <w:color w:val="131313"/>
        </w:rPr>
        <w:t xml:space="preserve">Paudel, M., Javanparast, S., Dasvarma, G.L. and Newman, L.A. (2019). “A critical account of the policy context shaping perinatal survival in Nepal: policy tension of socio-cultural versus a medical approach”. </w:t>
      </w:r>
      <w:r>
        <w:rPr>
          <w:i/>
          <w:color w:val="131313"/>
        </w:rPr>
        <w:t xml:space="preserve">BMC Health Services Research </w:t>
      </w:r>
      <w:r>
        <w:rPr>
          <w:color w:val="131313"/>
        </w:rPr>
        <w:t xml:space="preserve">(2019) 19:166. </w:t>
      </w:r>
      <w:r>
        <w:rPr>
          <w:color w:val="131313"/>
          <w:spacing w:val="-2"/>
        </w:rPr>
        <w:t>(</w:t>
      </w:r>
      <w:hyperlink r:id="rId19">
        <w:r>
          <w:rPr>
            <w:color w:val="131313"/>
            <w:spacing w:val="-2"/>
          </w:rPr>
          <w:t>https://doi.org/10.1186/s12913-019-3979-3)</w:t>
        </w:r>
      </w:hyperlink>
    </w:p>
    <w:p w14:paraId="274A222F" w14:textId="77777777" w:rsidR="00052ED9" w:rsidRPr="003C27BE" w:rsidRDefault="00000000" w:rsidP="003C27BE">
      <w:pPr>
        <w:pStyle w:val="ListParagraph"/>
        <w:numPr>
          <w:ilvl w:val="0"/>
          <w:numId w:val="1"/>
        </w:numPr>
        <w:spacing w:before="16"/>
        <w:ind w:right="420"/>
        <w:jc w:val="both"/>
        <w:rPr>
          <w:sz w:val="21"/>
        </w:rPr>
      </w:pPr>
      <w:r w:rsidRPr="003C27BE">
        <w:rPr>
          <w:sz w:val="21"/>
        </w:rPr>
        <w:t xml:space="preserve">Dasvarma, G.L, Hang Lina, Sok Kosal and Nott Rama Rao (2018). “Fertility Preferences in Cambodia”. In Gietel-Basten, Stuart; John Casterline and Minja Kim Choe (Eds) </w:t>
      </w:r>
      <w:r w:rsidRPr="003C27BE">
        <w:rPr>
          <w:i/>
          <w:sz w:val="21"/>
        </w:rPr>
        <w:t>Family Demography</w:t>
      </w:r>
      <w:r w:rsidRPr="003C27BE">
        <w:rPr>
          <w:i/>
          <w:spacing w:val="-15"/>
          <w:sz w:val="21"/>
        </w:rPr>
        <w:t xml:space="preserve"> </w:t>
      </w:r>
      <w:r w:rsidRPr="003C27BE">
        <w:rPr>
          <w:i/>
          <w:sz w:val="21"/>
        </w:rPr>
        <w:t>in</w:t>
      </w:r>
      <w:r w:rsidRPr="003C27BE">
        <w:rPr>
          <w:i/>
          <w:spacing w:val="-15"/>
          <w:sz w:val="21"/>
        </w:rPr>
        <w:t xml:space="preserve"> </w:t>
      </w:r>
      <w:r w:rsidRPr="003C27BE">
        <w:rPr>
          <w:i/>
          <w:sz w:val="21"/>
        </w:rPr>
        <w:t>Asia</w:t>
      </w:r>
      <w:r w:rsidRPr="003C27BE">
        <w:rPr>
          <w:i/>
          <w:spacing w:val="-14"/>
          <w:sz w:val="21"/>
        </w:rPr>
        <w:t xml:space="preserve"> </w:t>
      </w:r>
      <w:r w:rsidRPr="003C27BE">
        <w:rPr>
          <w:i/>
          <w:sz w:val="21"/>
        </w:rPr>
        <w:t>-</w:t>
      </w:r>
      <w:r w:rsidRPr="003C27BE">
        <w:rPr>
          <w:i/>
          <w:spacing w:val="-15"/>
          <w:sz w:val="21"/>
        </w:rPr>
        <w:t xml:space="preserve"> </w:t>
      </w:r>
      <w:r w:rsidRPr="003C27BE">
        <w:rPr>
          <w:i/>
          <w:sz w:val="21"/>
        </w:rPr>
        <w:t>A</w:t>
      </w:r>
      <w:r w:rsidRPr="003C27BE">
        <w:rPr>
          <w:i/>
          <w:spacing w:val="-14"/>
          <w:sz w:val="21"/>
        </w:rPr>
        <w:t xml:space="preserve"> </w:t>
      </w:r>
      <w:r w:rsidRPr="003C27BE">
        <w:rPr>
          <w:i/>
          <w:sz w:val="21"/>
        </w:rPr>
        <w:t>Comparative</w:t>
      </w:r>
      <w:r w:rsidRPr="003C27BE">
        <w:rPr>
          <w:i/>
          <w:spacing w:val="-13"/>
          <w:sz w:val="21"/>
        </w:rPr>
        <w:t xml:space="preserve"> </w:t>
      </w:r>
      <w:r w:rsidRPr="003C27BE">
        <w:rPr>
          <w:i/>
          <w:sz w:val="21"/>
        </w:rPr>
        <w:t>Analysis</w:t>
      </w:r>
      <w:r w:rsidRPr="003C27BE">
        <w:rPr>
          <w:i/>
          <w:spacing w:val="-14"/>
          <w:sz w:val="21"/>
        </w:rPr>
        <w:t xml:space="preserve"> </w:t>
      </w:r>
      <w:r w:rsidRPr="003C27BE">
        <w:rPr>
          <w:i/>
          <w:sz w:val="21"/>
        </w:rPr>
        <w:t>of</w:t>
      </w:r>
      <w:r w:rsidRPr="003C27BE">
        <w:rPr>
          <w:i/>
          <w:spacing w:val="-15"/>
          <w:sz w:val="21"/>
        </w:rPr>
        <w:t xml:space="preserve"> </w:t>
      </w:r>
      <w:r w:rsidRPr="003C27BE">
        <w:rPr>
          <w:i/>
          <w:sz w:val="21"/>
        </w:rPr>
        <w:t>Fertility</w:t>
      </w:r>
      <w:r w:rsidRPr="003C27BE">
        <w:rPr>
          <w:i/>
          <w:spacing w:val="-15"/>
          <w:sz w:val="21"/>
        </w:rPr>
        <w:t xml:space="preserve"> </w:t>
      </w:r>
      <w:r w:rsidRPr="003C27BE">
        <w:rPr>
          <w:i/>
          <w:sz w:val="21"/>
        </w:rPr>
        <w:t>Preferences</w:t>
      </w:r>
      <w:r w:rsidRPr="003C27BE">
        <w:rPr>
          <w:sz w:val="21"/>
        </w:rPr>
        <w:t>.</w:t>
      </w:r>
      <w:r w:rsidRPr="003C27BE">
        <w:rPr>
          <w:spacing w:val="-14"/>
          <w:sz w:val="21"/>
        </w:rPr>
        <w:t xml:space="preserve"> </w:t>
      </w:r>
      <w:r w:rsidRPr="003C27BE">
        <w:rPr>
          <w:sz w:val="21"/>
        </w:rPr>
        <w:t>Edward</w:t>
      </w:r>
      <w:r w:rsidRPr="003C27BE">
        <w:rPr>
          <w:spacing w:val="-14"/>
          <w:sz w:val="21"/>
        </w:rPr>
        <w:t xml:space="preserve"> </w:t>
      </w:r>
      <w:r w:rsidRPr="003C27BE">
        <w:rPr>
          <w:sz w:val="21"/>
        </w:rPr>
        <w:t>Elger</w:t>
      </w:r>
      <w:r w:rsidRPr="003C27BE">
        <w:rPr>
          <w:spacing w:val="-15"/>
          <w:sz w:val="21"/>
        </w:rPr>
        <w:t xml:space="preserve"> </w:t>
      </w:r>
      <w:r w:rsidRPr="003C27BE">
        <w:rPr>
          <w:sz w:val="21"/>
        </w:rPr>
        <w:t>Publishing. Cheltenham, UK. pp. 68-87.</w:t>
      </w:r>
    </w:p>
    <w:p w14:paraId="274A2230" w14:textId="77777777" w:rsidR="00052ED9" w:rsidRPr="003C27BE" w:rsidRDefault="00000000" w:rsidP="003C27BE">
      <w:pPr>
        <w:pStyle w:val="ListParagraph"/>
        <w:numPr>
          <w:ilvl w:val="0"/>
          <w:numId w:val="1"/>
        </w:numPr>
        <w:ind w:right="421"/>
        <w:jc w:val="both"/>
        <w:rPr>
          <w:sz w:val="21"/>
        </w:rPr>
      </w:pPr>
      <w:r w:rsidRPr="003C27BE">
        <w:rPr>
          <w:sz w:val="21"/>
        </w:rPr>
        <w:t>Lavu,</w:t>
      </w:r>
      <w:r w:rsidRPr="003C27BE">
        <w:rPr>
          <w:spacing w:val="-15"/>
          <w:sz w:val="21"/>
        </w:rPr>
        <w:t xml:space="preserve"> </w:t>
      </w:r>
      <w:r w:rsidRPr="003C27BE">
        <w:rPr>
          <w:sz w:val="21"/>
        </w:rPr>
        <w:t>Esther</w:t>
      </w:r>
      <w:r w:rsidRPr="003C27BE">
        <w:rPr>
          <w:spacing w:val="-15"/>
          <w:sz w:val="21"/>
        </w:rPr>
        <w:t xml:space="preserve"> </w:t>
      </w:r>
      <w:r w:rsidRPr="003C27BE">
        <w:rPr>
          <w:sz w:val="21"/>
        </w:rPr>
        <w:t>and</w:t>
      </w:r>
      <w:r w:rsidRPr="003C27BE">
        <w:rPr>
          <w:spacing w:val="-14"/>
          <w:sz w:val="21"/>
        </w:rPr>
        <w:t xml:space="preserve"> </w:t>
      </w:r>
      <w:r w:rsidRPr="003C27BE">
        <w:rPr>
          <w:sz w:val="21"/>
        </w:rPr>
        <w:t>G.</w:t>
      </w:r>
      <w:r w:rsidRPr="003C27BE">
        <w:rPr>
          <w:spacing w:val="-15"/>
          <w:sz w:val="21"/>
        </w:rPr>
        <w:t xml:space="preserve"> </w:t>
      </w:r>
      <w:r w:rsidRPr="003C27BE">
        <w:rPr>
          <w:sz w:val="21"/>
        </w:rPr>
        <w:t>L.</w:t>
      </w:r>
      <w:r w:rsidRPr="003C27BE">
        <w:rPr>
          <w:spacing w:val="-14"/>
          <w:sz w:val="21"/>
        </w:rPr>
        <w:t xml:space="preserve"> </w:t>
      </w:r>
      <w:r w:rsidRPr="003C27BE">
        <w:rPr>
          <w:sz w:val="21"/>
        </w:rPr>
        <w:t>Dasvarma</w:t>
      </w:r>
      <w:r w:rsidRPr="003C27BE">
        <w:rPr>
          <w:spacing w:val="-15"/>
          <w:sz w:val="21"/>
        </w:rPr>
        <w:t xml:space="preserve"> </w:t>
      </w:r>
      <w:r w:rsidRPr="003C27BE">
        <w:rPr>
          <w:sz w:val="21"/>
        </w:rPr>
        <w:t>(2018).</w:t>
      </w:r>
      <w:r w:rsidRPr="003C27BE">
        <w:rPr>
          <w:spacing w:val="-15"/>
          <w:sz w:val="21"/>
        </w:rPr>
        <w:t xml:space="preserve"> </w:t>
      </w:r>
      <w:r w:rsidRPr="003C27BE">
        <w:rPr>
          <w:sz w:val="21"/>
        </w:rPr>
        <w:t>“Fertility</w:t>
      </w:r>
      <w:r w:rsidRPr="003C27BE">
        <w:rPr>
          <w:spacing w:val="-14"/>
          <w:sz w:val="21"/>
        </w:rPr>
        <w:t xml:space="preserve"> </w:t>
      </w:r>
      <w:r w:rsidRPr="003C27BE">
        <w:rPr>
          <w:sz w:val="21"/>
        </w:rPr>
        <w:t>Preferences</w:t>
      </w:r>
      <w:r w:rsidRPr="003C27BE">
        <w:rPr>
          <w:spacing w:val="-15"/>
          <w:sz w:val="21"/>
        </w:rPr>
        <w:t xml:space="preserve"> </w:t>
      </w:r>
      <w:r w:rsidRPr="003C27BE">
        <w:rPr>
          <w:sz w:val="21"/>
        </w:rPr>
        <w:t>in</w:t>
      </w:r>
      <w:r w:rsidRPr="003C27BE">
        <w:rPr>
          <w:spacing w:val="-14"/>
          <w:sz w:val="21"/>
        </w:rPr>
        <w:t xml:space="preserve"> </w:t>
      </w:r>
      <w:r w:rsidRPr="003C27BE">
        <w:rPr>
          <w:sz w:val="21"/>
        </w:rPr>
        <w:t>Papua</w:t>
      </w:r>
      <w:r w:rsidRPr="003C27BE">
        <w:rPr>
          <w:spacing w:val="-15"/>
          <w:sz w:val="21"/>
        </w:rPr>
        <w:t xml:space="preserve"> </w:t>
      </w:r>
      <w:r w:rsidRPr="003C27BE">
        <w:rPr>
          <w:sz w:val="21"/>
        </w:rPr>
        <w:t>New</w:t>
      </w:r>
      <w:r w:rsidRPr="003C27BE">
        <w:rPr>
          <w:spacing w:val="-15"/>
          <w:sz w:val="21"/>
        </w:rPr>
        <w:t xml:space="preserve"> </w:t>
      </w:r>
      <w:r w:rsidRPr="003C27BE">
        <w:rPr>
          <w:sz w:val="21"/>
        </w:rPr>
        <w:t>Guinea.”</w:t>
      </w:r>
      <w:r w:rsidRPr="003C27BE">
        <w:rPr>
          <w:spacing w:val="-14"/>
          <w:sz w:val="21"/>
        </w:rPr>
        <w:t xml:space="preserve"> </w:t>
      </w:r>
      <w:r w:rsidRPr="003C27BE">
        <w:rPr>
          <w:sz w:val="21"/>
        </w:rPr>
        <w:t>In</w:t>
      </w:r>
      <w:r w:rsidRPr="003C27BE">
        <w:rPr>
          <w:spacing w:val="-15"/>
          <w:sz w:val="21"/>
        </w:rPr>
        <w:t xml:space="preserve"> </w:t>
      </w:r>
      <w:r w:rsidRPr="003C27BE">
        <w:rPr>
          <w:sz w:val="21"/>
        </w:rPr>
        <w:t xml:space="preserve">Gietel-Basten, Stuart; John Casterline and Minja Kim Choe (Eds) </w:t>
      </w:r>
      <w:r w:rsidRPr="003C27BE">
        <w:rPr>
          <w:i/>
          <w:sz w:val="21"/>
        </w:rPr>
        <w:t>Family Demography in Asia - A Comparative Analysis of Fertility Preferences</w:t>
      </w:r>
      <w:r w:rsidRPr="003C27BE">
        <w:rPr>
          <w:sz w:val="21"/>
        </w:rPr>
        <w:t>. Edward Elger Publishing. Cheltenham, UK.</w:t>
      </w:r>
    </w:p>
    <w:p w14:paraId="274A2231" w14:textId="77777777" w:rsidR="00052ED9" w:rsidRDefault="00000000" w:rsidP="003C27BE">
      <w:pPr>
        <w:pStyle w:val="BodyText"/>
        <w:numPr>
          <w:ilvl w:val="0"/>
          <w:numId w:val="1"/>
        </w:numPr>
        <w:jc w:val="both"/>
      </w:pPr>
      <w:r>
        <w:t>pp.</w:t>
      </w:r>
      <w:r>
        <w:rPr>
          <w:spacing w:val="-6"/>
        </w:rPr>
        <w:t xml:space="preserve"> </w:t>
      </w:r>
      <w:r>
        <w:t>260-</w:t>
      </w:r>
      <w:r>
        <w:rPr>
          <w:spacing w:val="-4"/>
        </w:rPr>
        <w:t>277.</w:t>
      </w:r>
    </w:p>
    <w:p w14:paraId="274A2232" w14:textId="77777777" w:rsidR="00052ED9" w:rsidRDefault="00000000" w:rsidP="003C27BE">
      <w:pPr>
        <w:pStyle w:val="BodyText"/>
        <w:numPr>
          <w:ilvl w:val="0"/>
          <w:numId w:val="1"/>
        </w:numPr>
        <w:ind w:right="421"/>
        <w:jc w:val="both"/>
      </w:pPr>
      <w:r>
        <w:rPr>
          <w:color w:val="333333"/>
        </w:rPr>
        <w:t xml:space="preserve">Saikia, U., Dasvarma, G.L. and Chalmers, J.C. (2018). “Methods of Measuring Human Well-being and Human Development” In Arni S.R. Srinivasa Rao, C.R. Rao, ed. </w:t>
      </w:r>
      <w:r>
        <w:rPr>
          <w:i/>
          <w:color w:val="333333"/>
        </w:rPr>
        <w:t>Handbook of Statistics</w:t>
      </w:r>
      <w:r>
        <w:rPr>
          <w:color w:val="333333"/>
        </w:rPr>
        <w:t>. The United States: Elsevier, pp. 545-575.</w:t>
      </w:r>
    </w:p>
    <w:p w14:paraId="274A2233" w14:textId="77777777" w:rsidR="00052ED9" w:rsidRDefault="00000000" w:rsidP="003C27BE">
      <w:pPr>
        <w:pStyle w:val="BodyText"/>
        <w:numPr>
          <w:ilvl w:val="0"/>
          <w:numId w:val="1"/>
        </w:numPr>
        <w:ind w:right="418"/>
        <w:jc w:val="both"/>
      </w:pPr>
      <w:r>
        <w:t>Paudel,</w:t>
      </w:r>
      <w:r>
        <w:rPr>
          <w:spacing w:val="-9"/>
        </w:rPr>
        <w:t xml:space="preserve"> </w:t>
      </w:r>
      <w:r>
        <w:t>M.,</w:t>
      </w:r>
      <w:r>
        <w:rPr>
          <w:spacing w:val="-9"/>
        </w:rPr>
        <w:t xml:space="preserve"> </w:t>
      </w:r>
      <w:r>
        <w:t>Javanparast,</w:t>
      </w:r>
      <w:r>
        <w:rPr>
          <w:spacing w:val="-9"/>
        </w:rPr>
        <w:t xml:space="preserve"> </w:t>
      </w:r>
      <w:r>
        <w:t>S.,</w:t>
      </w:r>
      <w:r>
        <w:rPr>
          <w:spacing w:val="-9"/>
        </w:rPr>
        <w:t xml:space="preserve"> </w:t>
      </w:r>
      <w:r>
        <w:t>Dasvarma,</w:t>
      </w:r>
      <w:r>
        <w:rPr>
          <w:spacing w:val="-9"/>
        </w:rPr>
        <w:t xml:space="preserve"> </w:t>
      </w:r>
      <w:r>
        <w:t>G.L.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Newman.</w:t>
      </w:r>
      <w:r>
        <w:rPr>
          <w:spacing w:val="-9"/>
        </w:rPr>
        <w:t xml:space="preserve"> </w:t>
      </w:r>
      <w:r>
        <w:t>2018.</w:t>
      </w:r>
      <w:r>
        <w:rPr>
          <w:spacing w:val="-9"/>
        </w:rPr>
        <w:t xml:space="preserve"> </w:t>
      </w:r>
      <w:r>
        <w:t>“A</w:t>
      </w:r>
      <w:r>
        <w:rPr>
          <w:spacing w:val="-8"/>
        </w:rPr>
        <w:t xml:space="preserve"> </w:t>
      </w:r>
      <w:r>
        <w:t>qualitative</w:t>
      </w:r>
      <w:r>
        <w:rPr>
          <w:spacing w:val="-8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 xml:space="preserve">the gendered experiences of motherhood and perinatal mortality in mountain villages of Nepal: implications for improving perinatal survival”. </w:t>
      </w:r>
      <w:r>
        <w:rPr>
          <w:i/>
        </w:rPr>
        <w:t xml:space="preserve">BMC Pregnancy and Childbirth </w:t>
      </w:r>
      <w:r>
        <w:t xml:space="preserve">(2018) 18:163. </w:t>
      </w:r>
      <w:r>
        <w:rPr>
          <w:spacing w:val="-2"/>
        </w:rPr>
        <w:t>(</w:t>
      </w:r>
      <w:hyperlink r:id="rId20">
        <w:r>
          <w:rPr>
            <w:spacing w:val="-2"/>
          </w:rPr>
          <w:t>https://doi.org/10.1186/s12884-018-1776-3)</w:t>
        </w:r>
      </w:hyperlink>
    </w:p>
    <w:p w14:paraId="274A2234" w14:textId="77777777" w:rsidR="00052ED9" w:rsidRDefault="00000000" w:rsidP="003C27BE">
      <w:pPr>
        <w:pStyle w:val="BodyText"/>
        <w:numPr>
          <w:ilvl w:val="0"/>
          <w:numId w:val="1"/>
        </w:numPr>
        <w:spacing w:before="13"/>
        <w:ind w:right="419"/>
        <w:jc w:val="both"/>
      </w:pPr>
      <w:r>
        <w:rPr>
          <w:color w:val="333333"/>
        </w:rPr>
        <w:t>Tasnim, Mwanri, L. and Dasvarma, G.L. (2018). “Mother’s child feeding knowledge and practices associated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underweight 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children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under-five years: a study from rural Konawe, Indonesia”.</w:t>
      </w:r>
      <w:r>
        <w:rPr>
          <w:color w:val="333333"/>
          <w:spacing w:val="-7"/>
        </w:rPr>
        <w:t xml:space="preserve"> </w:t>
      </w:r>
      <w:r>
        <w:rPr>
          <w:i/>
          <w:color w:val="333333"/>
        </w:rPr>
        <w:t>Public</w:t>
      </w:r>
      <w:r>
        <w:rPr>
          <w:i/>
          <w:color w:val="333333"/>
          <w:spacing w:val="-18"/>
        </w:rPr>
        <w:t xml:space="preserve"> </w:t>
      </w:r>
      <w:r>
        <w:rPr>
          <w:i/>
          <w:color w:val="333333"/>
        </w:rPr>
        <w:t>Health</w:t>
      </w:r>
      <w:r>
        <w:rPr>
          <w:i/>
          <w:color w:val="333333"/>
          <w:spacing w:val="-18"/>
        </w:rPr>
        <w:t xml:space="preserve"> </w:t>
      </w:r>
      <w:r>
        <w:rPr>
          <w:i/>
          <w:color w:val="333333"/>
        </w:rPr>
        <w:t>of</w:t>
      </w:r>
      <w:r>
        <w:rPr>
          <w:i/>
          <w:color w:val="333333"/>
          <w:spacing w:val="-19"/>
        </w:rPr>
        <w:t xml:space="preserve"> </w:t>
      </w:r>
      <w:r>
        <w:rPr>
          <w:i/>
          <w:color w:val="333333"/>
        </w:rPr>
        <w:t>Indonesia</w:t>
      </w:r>
      <w:r>
        <w:rPr>
          <w:color w:val="333333"/>
        </w:rPr>
        <w:t>,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4(1)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pp.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9-18.</w:t>
      </w:r>
    </w:p>
    <w:p w14:paraId="274A2235" w14:textId="77777777" w:rsidR="00052ED9" w:rsidRPr="003C27BE" w:rsidRDefault="00000000" w:rsidP="003C27BE">
      <w:pPr>
        <w:pStyle w:val="ListParagraph"/>
        <w:numPr>
          <w:ilvl w:val="0"/>
          <w:numId w:val="1"/>
        </w:numPr>
        <w:tabs>
          <w:tab w:val="left" w:pos="1197"/>
          <w:tab w:val="left" w:pos="2836"/>
          <w:tab w:val="left" w:pos="4466"/>
          <w:tab w:val="left" w:pos="5644"/>
          <w:tab w:val="left" w:pos="6719"/>
          <w:tab w:val="left" w:pos="7869"/>
        </w:tabs>
        <w:spacing w:before="15"/>
        <w:ind w:right="419"/>
        <w:jc w:val="both"/>
        <w:rPr>
          <w:i/>
          <w:sz w:val="21"/>
        </w:rPr>
      </w:pPr>
      <w:r w:rsidRPr="003C27BE">
        <w:rPr>
          <w:color w:val="333333"/>
          <w:sz w:val="21"/>
        </w:rPr>
        <w:t>Paudel,</w:t>
      </w:r>
      <w:r w:rsidRPr="003C27BE">
        <w:rPr>
          <w:color w:val="333333"/>
          <w:spacing w:val="-12"/>
          <w:sz w:val="21"/>
        </w:rPr>
        <w:t xml:space="preserve"> </w:t>
      </w:r>
      <w:r w:rsidRPr="003C27BE">
        <w:rPr>
          <w:color w:val="333333"/>
          <w:sz w:val="21"/>
        </w:rPr>
        <w:t>M.,</w:t>
      </w:r>
      <w:r w:rsidRPr="003C27BE">
        <w:rPr>
          <w:color w:val="333333"/>
          <w:spacing w:val="-10"/>
          <w:sz w:val="21"/>
        </w:rPr>
        <w:t xml:space="preserve"> </w:t>
      </w:r>
      <w:r w:rsidRPr="003C27BE">
        <w:rPr>
          <w:color w:val="333333"/>
          <w:sz w:val="21"/>
        </w:rPr>
        <w:t>Javanparast,</w:t>
      </w:r>
      <w:r w:rsidRPr="003C27BE">
        <w:rPr>
          <w:color w:val="333333"/>
          <w:spacing w:val="-12"/>
          <w:sz w:val="21"/>
        </w:rPr>
        <w:t xml:space="preserve"> </w:t>
      </w:r>
      <w:r w:rsidRPr="003C27BE">
        <w:rPr>
          <w:color w:val="333333"/>
          <w:sz w:val="21"/>
        </w:rPr>
        <w:t>S.,</w:t>
      </w:r>
      <w:r w:rsidRPr="003C27BE">
        <w:rPr>
          <w:color w:val="333333"/>
          <w:spacing w:val="-12"/>
          <w:sz w:val="21"/>
        </w:rPr>
        <w:t xml:space="preserve"> </w:t>
      </w:r>
      <w:r w:rsidRPr="003C27BE">
        <w:rPr>
          <w:color w:val="333333"/>
          <w:sz w:val="21"/>
        </w:rPr>
        <w:t>Dasvarma,</w:t>
      </w:r>
      <w:r w:rsidRPr="003C27BE">
        <w:rPr>
          <w:color w:val="333333"/>
          <w:spacing w:val="-12"/>
          <w:sz w:val="21"/>
        </w:rPr>
        <w:t xml:space="preserve"> </w:t>
      </w:r>
      <w:r w:rsidRPr="003C27BE">
        <w:rPr>
          <w:color w:val="333333"/>
          <w:sz w:val="21"/>
        </w:rPr>
        <w:t>G.L.</w:t>
      </w:r>
      <w:r w:rsidRPr="003C27BE">
        <w:rPr>
          <w:color w:val="333333"/>
          <w:spacing w:val="-12"/>
          <w:sz w:val="21"/>
        </w:rPr>
        <w:t xml:space="preserve"> </w:t>
      </w:r>
      <w:r w:rsidRPr="003C27BE">
        <w:rPr>
          <w:color w:val="333333"/>
          <w:sz w:val="21"/>
        </w:rPr>
        <w:t>and</w:t>
      </w:r>
      <w:r w:rsidRPr="003C27BE">
        <w:rPr>
          <w:color w:val="333333"/>
          <w:spacing w:val="-11"/>
          <w:sz w:val="21"/>
        </w:rPr>
        <w:t xml:space="preserve"> </w:t>
      </w:r>
      <w:r w:rsidRPr="003C27BE">
        <w:rPr>
          <w:color w:val="333333"/>
          <w:sz w:val="21"/>
        </w:rPr>
        <w:t>Newman,</w:t>
      </w:r>
      <w:r w:rsidRPr="003C27BE">
        <w:rPr>
          <w:color w:val="333333"/>
          <w:spacing w:val="-12"/>
          <w:sz w:val="21"/>
        </w:rPr>
        <w:t xml:space="preserve"> </w:t>
      </w:r>
      <w:r w:rsidRPr="003C27BE">
        <w:rPr>
          <w:color w:val="333333"/>
          <w:sz w:val="21"/>
        </w:rPr>
        <w:t>L.A.</w:t>
      </w:r>
      <w:r w:rsidRPr="003C27BE">
        <w:rPr>
          <w:color w:val="333333"/>
          <w:spacing w:val="-12"/>
          <w:sz w:val="21"/>
        </w:rPr>
        <w:t xml:space="preserve"> </w:t>
      </w:r>
      <w:r w:rsidRPr="003C27BE">
        <w:rPr>
          <w:color w:val="333333"/>
          <w:sz w:val="21"/>
        </w:rPr>
        <w:t>(2018).</w:t>
      </w:r>
      <w:r w:rsidRPr="003C27BE">
        <w:rPr>
          <w:color w:val="333333"/>
          <w:spacing w:val="-12"/>
          <w:sz w:val="21"/>
        </w:rPr>
        <w:t xml:space="preserve"> </w:t>
      </w:r>
      <w:r w:rsidRPr="003C27BE">
        <w:rPr>
          <w:color w:val="333333"/>
          <w:sz w:val="21"/>
        </w:rPr>
        <w:t>“Religio-cultural</w:t>
      </w:r>
      <w:r w:rsidRPr="003C27BE">
        <w:rPr>
          <w:color w:val="333333"/>
          <w:spacing w:val="-10"/>
          <w:sz w:val="21"/>
        </w:rPr>
        <w:t xml:space="preserve"> </w:t>
      </w:r>
      <w:r w:rsidRPr="003C27BE">
        <w:rPr>
          <w:color w:val="333333"/>
          <w:sz w:val="21"/>
        </w:rPr>
        <w:t xml:space="preserve">factors contributing to perinatal mortality and morbidity in mountain villages of Nepal: Implications for </w:t>
      </w:r>
      <w:r w:rsidRPr="003C27BE">
        <w:rPr>
          <w:color w:val="333333"/>
          <w:spacing w:val="-2"/>
          <w:sz w:val="21"/>
        </w:rPr>
        <w:t>future</w:t>
      </w:r>
      <w:r w:rsidRPr="003C27BE">
        <w:rPr>
          <w:color w:val="333333"/>
          <w:sz w:val="21"/>
        </w:rPr>
        <w:tab/>
      </w:r>
      <w:r w:rsidRPr="003C27BE">
        <w:rPr>
          <w:color w:val="333333"/>
          <w:spacing w:val="-2"/>
          <w:sz w:val="21"/>
        </w:rPr>
        <w:t>healthcare</w:t>
      </w:r>
      <w:r w:rsidRPr="003C27BE">
        <w:rPr>
          <w:color w:val="333333"/>
          <w:sz w:val="21"/>
        </w:rPr>
        <w:tab/>
      </w:r>
      <w:r w:rsidRPr="003C27BE">
        <w:rPr>
          <w:color w:val="333333"/>
          <w:spacing w:val="-2"/>
          <w:sz w:val="21"/>
        </w:rPr>
        <w:t>provision”.</w:t>
      </w:r>
      <w:r w:rsidRPr="003C27BE">
        <w:rPr>
          <w:color w:val="333333"/>
          <w:sz w:val="21"/>
        </w:rPr>
        <w:tab/>
      </w:r>
      <w:r w:rsidRPr="003C27BE">
        <w:rPr>
          <w:i/>
          <w:color w:val="333333"/>
          <w:spacing w:val="-4"/>
          <w:sz w:val="21"/>
        </w:rPr>
        <w:t>PLOS</w:t>
      </w:r>
      <w:r w:rsidRPr="003C27BE">
        <w:rPr>
          <w:i/>
          <w:color w:val="333333"/>
          <w:sz w:val="21"/>
        </w:rPr>
        <w:tab/>
      </w:r>
      <w:r w:rsidRPr="003C27BE">
        <w:rPr>
          <w:i/>
          <w:color w:val="333333"/>
          <w:spacing w:val="-4"/>
          <w:sz w:val="21"/>
        </w:rPr>
        <w:t>ONE</w:t>
      </w:r>
      <w:r w:rsidRPr="003C27BE">
        <w:rPr>
          <w:i/>
          <w:color w:val="333333"/>
          <w:sz w:val="21"/>
        </w:rPr>
        <w:tab/>
      </w:r>
      <w:r w:rsidRPr="003C27BE">
        <w:rPr>
          <w:i/>
          <w:color w:val="333333"/>
          <w:spacing w:val="-2"/>
          <w:sz w:val="21"/>
        </w:rPr>
        <w:t>13(3):</w:t>
      </w:r>
      <w:r w:rsidRPr="003C27BE">
        <w:rPr>
          <w:i/>
          <w:color w:val="333333"/>
          <w:sz w:val="21"/>
        </w:rPr>
        <w:tab/>
      </w:r>
      <w:r w:rsidRPr="003C27BE">
        <w:rPr>
          <w:i/>
          <w:color w:val="333333"/>
          <w:spacing w:val="-10"/>
          <w:sz w:val="21"/>
        </w:rPr>
        <w:t xml:space="preserve">e0194328. </w:t>
      </w:r>
      <w:hyperlink r:id="rId21">
        <w:r w:rsidRPr="003C27BE">
          <w:rPr>
            <w:i/>
            <w:color w:val="0000FF"/>
            <w:spacing w:val="-6"/>
            <w:sz w:val="21"/>
            <w:u w:val="single" w:color="0000FF"/>
          </w:rPr>
          <w:t>https://doi.org/10.1371/journal.pone.0194328</w:t>
        </w:r>
      </w:hyperlink>
    </w:p>
    <w:p w14:paraId="274A2236" w14:textId="444E2ADB" w:rsidR="00052ED9" w:rsidRDefault="00000000" w:rsidP="003C27BE">
      <w:pPr>
        <w:pStyle w:val="BodyText"/>
        <w:numPr>
          <w:ilvl w:val="0"/>
          <w:numId w:val="1"/>
        </w:numPr>
        <w:spacing w:before="13"/>
        <w:ind w:right="421"/>
        <w:jc w:val="both"/>
      </w:pPr>
      <w:r>
        <w:rPr>
          <w:color w:val="333333"/>
        </w:rPr>
        <w:t>Paudel,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M.,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Javanparast,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S.,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Newman,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L.A.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Dasvarma,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G.L.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(2018).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“Health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system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barriers influencing perinatal survival in mountain villages of Nepal: Implications for future policies and </w:t>
      </w:r>
      <w:r>
        <w:rPr>
          <w:color w:val="333333"/>
          <w:spacing w:val="-2"/>
        </w:rPr>
        <w:t xml:space="preserve">practices”. </w:t>
      </w:r>
      <w:r>
        <w:rPr>
          <w:i/>
          <w:color w:val="333333"/>
          <w:spacing w:val="-2"/>
        </w:rPr>
        <w:t>Journal</w:t>
      </w:r>
      <w:r>
        <w:rPr>
          <w:i/>
          <w:color w:val="333333"/>
          <w:spacing w:val="-15"/>
        </w:rPr>
        <w:t xml:space="preserve"> </w:t>
      </w:r>
      <w:r>
        <w:rPr>
          <w:i/>
          <w:color w:val="333333"/>
          <w:spacing w:val="-2"/>
        </w:rPr>
        <w:t>of</w:t>
      </w:r>
      <w:r>
        <w:rPr>
          <w:i/>
          <w:color w:val="333333"/>
          <w:spacing w:val="-17"/>
        </w:rPr>
        <w:t xml:space="preserve"> </w:t>
      </w:r>
      <w:r>
        <w:rPr>
          <w:i/>
          <w:color w:val="333333"/>
          <w:spacing w:val="-2"/>
        </w:rPr>
        <w:t>Health,</w:t>
      </w:r>
      <w:r>
        <w:rPr>
          <w:i/>
          <w:color w:val="333333"/>
          <w:spacing w:val="-17"/>
        </w:rPr>
        <w:t xml:space="preserve"> </w:t>
      </w:r>
      <w:r>
        <w:rPr>
          <w:i/>
          <w:color w:val="333333"/>
          <w:spacing w:val="-2"/>
        </w:rPr>
        <w:t>Population</w:t>
      </w:r>
      <w:r>
        <w:rPr>
          <w:i/>
          <w:color w:val="333333"/>
          <w:spacing w:val="-16"/>
        </w:rPr>
        <w:t xml:space="preserve"> </w:t>
      </w:r>
      <w:r>
        <w:rPr>
          <w:i/>
          <w:color w:val="333333"/>
          <w:spacing w:val="-2"/>
        </w:rPr>
        <w:t>and</w:t>
      </w:r>
      <w:r>
        <w:rPr>
          <w:i/>
          <w:color w:val="333333"/>
          <w:spacing w:val="-18"/>
        </w:rPr>
        <w:t xml:space="preserve"> </w:t>
      </w:r>
      <w:r>
        <w:rPr>
          <w:i/>
          <w:color w:val="333333"/>
          <w:spacing w:val="-2"/>
        </w:rPr>
        <w:t>Nutrition</w:t>
      </w:r>
      <w:r>
        <w:rPr>
          <w:b/>
          <w:color w:val="333333"/>
          <w:spacing w:val="-2"/>
        </w:rPr>
        <w:t>,</w:t>
      </w:r>
      <w:r>
        <w:rPr>
          <w:b/>
          <w:color w:val="333333"/>
          <w:spacing w:val="-18"/>
        </w:rPr>
        <w:t xml:space="preserve"> </w:t>
      </w:r>
      <w:r>
        <w:rPr>
          <w:color w:val="333333"/>
          <w:spacing w:val="-2"/>
        </w:rPr>
        <w:t>37(16) pp. 1-1</w:t>
      </w:r>
    </w:p>
    <w:sectPr w:rsidR="00052ED9">
      <w:pgSz w:w="11910" w:h="16840"/>
      <w:pgMar w:top="60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7EED"/>
    <w:multiLevelType w:val="hybridMultilevel"/>
    <w:tmpl w:val="3DF8C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8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2ED9"/>
    <w:rsid w:val="00052ED9"/>
    <w:rsid w:val="001D2C19"/>
    <w:rsid w:val="003B5F51"/>
    <w:rsid w:val="003C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21FC"/>
  <w15:docId w15:val="{F3B7D647-5BA8-4171-BA8A-78D79F00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now.flinders.edu.au/en/publications/covid-19-individual-wellbeing-and-multi-dimensional-poverty-in-th" TargetMode="External"/><Relationship Id="rId13" Type="http://schemas.openxmlformats.org/officeDocument/2006/relationships/hyperlink" Target="https://researchnow.flinders.edu.au/en/publications/the-gap-between-desired-and-expected-fertility-among-women-in-ira" TargetMode="External"/><Relationship Id="rId18" Type="http://schemas.openxmlformats.org/officeDocument/2006/relationships/hyperlink" Target="https://doi.org/10.1371/journal.pone.02395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371/journal.pone.0194328" TargetMode="External"/><Relationship Id="rId7" Type="http://schemas.openxmlformats.org/officeDocument/2006/relationships/hyperlink" Target="https://researchnow.flinders.edu.au/en/persons/gour-dasvarma-2/publications/" TargetMode="External"/><Relationship Id="rId12" Type="http://schemas.openxmlformats.org/officeDocument/2006/relationships/hyperlink" Target="https://researchnow.flinders.edu.au/en/persons/gour-dasvarma-2" TargetMode="External"/><Relationship Id="rId17" Type="http://schemas.openxmlformats.org/officeDocument/2006/relationships/hyperlink" Target="https://researchnow.flinders.edu.au/en/publications/predictors-of-early-initiation-of-breastfeeding-in-indonesia-a-po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earchnow.flinders.edu.au/en/publications/predictors-of-early-initiation-of-breastfeeding-in-indonesia-a-po" TargetMode="External"/><Relationship Id="rId20" Type="http://schemas.openxmlformats.org/officeDocument/2006/relationships/hyperlink" Target="https://doi.org/10.1186/s12884-018-1776-3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earchnow.flinders.edu.au/en/publications/pregnancy-resumption-following-contraceptive-discontinuation-haza" TargetMode="External"/><Relationship Id="rId11" Type="http://schemas.openxmlformats.org/officeDocument/2006/relationships/hyperlink" Target="https://researchnow.flinders.edu.au/en/persons/udoy-saikia-2" TargetMode="External"/><Relationship Id="rId5" Type="http://schemas.openxmlformats.org/officeDocument/2006/relationships/hyperlink" Target="https://researchnow.flinders.edu.au/en/publications/pregnancy-resumption-following-contraceptive-discontinuation-haza" TargetMode="External"/><Relationship Id="rId15" Type="http://schemas.openxmlformats.org/officeDocument/2006/relationships/hyperlink" Target="https://researchnow.flinders.edu.au/en/persons/gour-dasvarma-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earchnow.flinders.edu.au/en/persons/gour-dasvarma-2/publications/" TargetMode="External"/><Relationship Id="rId19" Type="http://schemas.openxmlformats.org/officeDocument/2006/relationships/hyperlink" Target="https://doi.org/10.1186/s12913-019-3979-3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now.flinders.edu.au/en/publications/covid-19-individual-wellbeing-and-multi-dimensional-poverty-in-th" TargetMode="External"/><Relationship Id="rId14" Type="http://schemas.openxmlformats.org/officeDocument/2006/relationships/hyperlink" Target="https://researchnow.flinders.edu.au/en/publications/the-gap-between-desired-and-expected-fertility-among-women-in-i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819</Words>
  <Characters>5147</Characters>
  <Application>Microsoft Office Word</Application>
  <DocSecurity>0</DocSecurity>
  <Lines>142</Lines>
  <Paragraphs>31</Paragraphs>
  <ScaleCrop>false</ScaleCrop>
  <Company>Flinders University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Marta Edmonds</dc:creator>
  <cp:lastModifiedBy>Gour Dasvarma</cp:lastModifiedBy>
  <cp:revision>3</cp:revision>
  <dcterms:created xsi:type="dcterms:W3CDTF">2026-03-12T07:04:00Z</dcterms:created>
  <dcterms:modified xsi:type="dcterms:W3CDTF">2026-03-12T07:06:00Z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