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BE10D" w14:textId="77777777" w:rsidR="00FD7879" w:rsidRPr="00126FA0" w:rsidRDefault="00FD7879" w:rsidP="002A23C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التطابق الدلالي</w:t>
      </w:r>
      <w:r w:rsidRPr="00126FA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D37BC" w:rsidRPr="00126FA0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اللفظي</w:t>
      </w:r>
      <w:bookmarkStart w:id="0" w:name="_GoBack"/>
      <w:bookmarkEnd w:id="0"/>
    </w:p>
    <w:p w14:paraId="07EF3BE3" w14:textId="77777777" w:rsidR="00F04199" w:rsidRDefault="00F04199" w:rsidP="00F04199">
      <w:pPr>
        <w:bidi/>
        <w:rPr>
          <w:rFonts w:ascii="Traditional Arabic" w:hAnsi="Traditional Arabic" w:cs="Traditional Arabic"/>
          <w:sz w:val="28"/>
          <w:szCs w:val="28"/>
          <w:lang w:bidi="ar-IQ"/>
        </w:rPr>
      </w:pPr>
      <w:r w:rsidRPr="00C9273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بروفسور </w:t>
      </w:r>
      <w:r w:rsidRPr="00721F2C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جلعاد</w:t>
      </w:r>
      <w:r w:rsidRPr="00721F2C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721F2C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تسوكرمن</w:t>
      </w:r>
    </w:p>
    <w:p w14:paraId="1343F61C" w14:textId="77777777" w:rsidR="00836143" w:rsidRPr="00126FA0" w:rsidRDefault="00836143" w:rsidP="00126FA0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كلمات رئيسية: </w:t>
      </w:r>
      <w:r w:rsidR="00DF71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استعارة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معجمي</w:t>
      </w:r>
      <w:r w:rsidR="00DF71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ة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 w:rsidR="00587209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إحياء اللغة، 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استحداث</w:t>
      </w:r>
      <w:r w:rsidR="00587209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اللفظة الجديدة، أكاديمية اللغة العبرية، اللغة والهوية، العالمية،</w:t>
      </w:r>
      <w:r w:rsidR="00DD2216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مبدأ المطابقة، التغيير الزائف الربط، </w:t>
      </w:r>
      <w:r w:rsidR="00766A1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تعدد </w:t>
      </w:r>
      <w:r w:rsidR="00126FA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المصادر</w:t>
      </w:r>
      <w:r w:rsidR="00DD2216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،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استحداث</w:t>
      </w:r>
      <w:r w:rsidR="00766A1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ألفاظ جديدة</w:t>
      </w:r>
      <w:r w:rsidR="00DD2216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من خلال عدة مصادر</w:t>
      </w:r>
      <w:r w:rsidR="00DD2216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، التهجين</w:t>
      </w:r>
      <w:r w:rsidR="00766A1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14:paraId="31454C57" w14:textId="77777777" w:rsidR="00FD7879" w:rsidRPr="00126FA0" w:rsidRDefault="00766A1F" w:rsidP="00766A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إن 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التطابق الدلالي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اللفظي</w:t>
      </w:r>
      <w:r w:rsidR="009D37BC" w:rsidRPr="00126FA0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 xml:space="preserve"> </w:t>
      </w:r>
      <w:r w:rsidR="00126FA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(</w:t>
      </w:r>
      <w:r w:rsidR="00FD77E1" w:rsidRPr="00141D37">
        <w:rPr>
          <w:rFonts w:ascii="Traditional Arabic" w:hAnsi="Traditional Arabic" w:cs="Traditional Arabic" w:hint="cs"/>
          <w:sz w:val="32"/>
          <w:szCs w:val="32"/>
          <w:rtl/>
        </w:rPr>
        <w:t>تسوكرمن</w:t>
      </w:r>
      <w:r w:rsidR="00126FA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1999: 331, 2003, 2005) </w:t>
      </w:r>
      <w:r w:rsidR="004B5313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ينتج عنه استعارة مموهة</w:t>
      </w:r>
      <w:r w:rsidR="00851FE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حيث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ت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ت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طابق</w:t>
      </w:r>
      <w:r w:rsidR="00851FE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المفردة الأجنبية مع </w:t>
      </w:r>
      <w:r w:rsidR="00EB641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كلمة أو جذر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موجود أصلاً في اللغة المستهدفة</w:t>
      </w:r>
      <w:r w:rsidR="00851FE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EB641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ومتشابه</w:t>
      </w:r>
      <w:r w:rsidR="00851FE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EB641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لفظاً ودلالةً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مع المفردة الأجنبية.</w:t>
      </w:r>
      <w:r w:rsidR="00EB641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اللفظة الجديدة الناتجة عن هذا </w:t>
      </w:r>
      <w:r w:rsidR="00FD7879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التوسع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المعجمي تحافظ على كل</w:t>
      </w:r>
      <w:r w:rsidR="00126FA0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ٍّ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من المعنى واللفظ التقريبي للتعبير المستنسخ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من</w:t>
      </w:r>
      <w:r w:rsid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اللغة الأصل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بمساعدة من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عناصر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الموجودة أصلاً في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اللغة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المستهدفة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. (اللفظة الجديدة </w:t>
      </w:r>
      <w:r w:rsidR="00126FA0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هنا 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مقصود بها المعنى الأشمل، أي إما أن تكون مفردة جديدة تماماً أو كلمة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موجودة أصلاً 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في اللغة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المستهدفة 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قد ت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َ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بد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َّ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ل مدلولها مما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ي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سفر عن معنى جديد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كلياً</w:t>
      </w:r>
      <w:r w:rsidR="00830CC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). الشكل أدناه يمثل تصوير عام لهذه العملية:</w:t>
      </w:r>
    </w:p>
    <w:p w14:paraId="4A8E79F9" w14:textId="77777777" w:rsidR="00DD2216" w:rsidRPr="00126FA0" w:rsidRDefault="00FD7879" w:rsidP="00FD7879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noProof/>
          <w:sz w:val="32"/>
          <w:szCs w:val="32"/>
          <w:rtl/>
          <w:lang w:val="en-AU" w:eastAsia="en-AU" w:bidi="he-IL"/>
        </w:rPr>
        <w:drawing>
          <wp:inline distT="0" distB="0" distL="0" distR="0" wp14:anchorId="396848D9" wp14:editId="70BF8060">
            <wp:extent cx="4933950" cy="20288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6EA3387" w14:textId="77777777" w:rsidR="00FD7879" w:rsidRPr="00927002" w:rsidRDefault="00FD7879" w:rsidP="003E1830">
      <w:pPr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IQ"/>
        </w:rPr>
      </w:pPr>
      <w:r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t xml:space="preserve">ص يشابه س </w:t>
      </w:r>
      <w:r w:rsidR="00E918DC"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t>لفظياً</w:t>
      </w:r>
      <w:r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br/>
      </w:r>
      <w:r w:rsidR="00DF71A4"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t>ب يشابه ا</w:t>
      </w:r>
      <w:r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br/>
        <w:t>صَ مستند على ص</w:t>
      </w:r>
      <w:r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br/>
      </w:r>
      <w:r w:rsidR="00DF71A4"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t>اَ مستند على ا</w:t>
      </w:r>
      <w:r w:rsidRPr="00927002">
        <w:rPr>
          <w:rFonts w:ascii="Traditional Arabic" w:hAnsi="Traditional Arabic" w:cs="Traditional Arabic"/>
          <w:sz w:val="24"/>
          <w:szCs w:val="24"/>
          <w:rtl/>
          <w:lang w:bidi="ar-IQ"/>
        </w:rPr>
        <w:br/>
      </w: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شكل 1: التطابق الدلالي </w:t>
      </w:r>
      <w:r w:rsidR="003E1830"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>اللفظي</w:t>
      </w:r>
    </w:p>
    <w:p w14:paraId="71C7955C" w14:textId="77777777" w:rsidR="003E1830" w:rsidRPr="00126FA0" w:rsidRDefault="00443EE8" w:rsidP="003E1830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هذه</w:t>
      </w:r>
      <w:r w:rsidR="003E183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’التوفيقات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المعجمية‘ (</w:t>
      </w:r>
      <w:r w:rsidR="003E183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راجع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دمندال 2001: 363) شائعة في مجموعتين لغويتين رئيسيتين: </w:t>
      </w:r>
    </w:p>
    <w:p w14:paraId="10B9EA07" w14:textId="77777777" w:rsidR="003E1830" w:rsidRPr="00126FA0" w:rsidRDefault="003E1830" w:rsidP="003E1830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الأولى: </w:t>
      </w:r>
      <w:r w:rsidR="00443EE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اللغات التي تستخدم 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النص اللوكوكرافي ال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ي الذي لا يسمح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بالتكييف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ي البحت،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مثل اللغة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الصينية وا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للغة ا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ليابانية (اليابانية أي فقط حيث ي</w:t>
      </w:r>
      <w:r w:rsidR="009400F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ُ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ستخدم الكانجي) </w:t>
      </w:r>
    </w:p>
    <w:p w14:paraId="4753CEE8" w14:textId="77777777" w:rsidR="003E1830" w:rsidRPr="00126FA0" w:rsidRDefault="003E1830" w:rsidP="003E1830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lastRenderedPageBreak/>
        <w:t xml:space="preserve">الثانية: </w:t>
      </w:r>
      <w:r w:rsidR="009D37B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اللغات 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الم</w:t>
      </w:r>
      <w:r w:rsidR="00927002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ُح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ياة</w:t>
      </w:r>
      <w:r w:rsidR="009400F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(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مثل اللغة</w:t>
      </w:r>
      <w:r w:rsidR="009400F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العبرية الحديثة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وسنشير لها بالا</w:t>
      </w:r>
      <w:r w:rsidR="009400F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سرائيلية)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واللغات المعاد تشكيلها (مثل اللغة 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التركية الحديثة) و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اللغات المتمسكة بنقاوتها (مثل اللغة 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اللآيسلندية،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راجع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سابير و</w:t>
      </w:r>
      <w:r w:rsidR="00FD77E1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2008)، والتي يحاول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القائمون عليها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أن يستبدلوا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ما فيها من كلمات أجنبية 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غير مرغوب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في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ها أو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الكلمات المستعارة من لغات أخرى</w:t>
      </w:r>
      <w:r w:rsidR="00EB344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</w:p>
    <w:p w14:paraId="7535753E" w14:textId="77777777" w:rsidR="00443EE8" w:rsidRPr="00126FA0" w:rsidRDefault="00EB344D" w:rsidP="003E1830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الشكل أدناه يلخص</w:t>
      </w:r>
      <w:r w:rsidR="003E183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التوفيقات المعجمية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بالنظر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إلى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AA40C7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التطابق الدلالي ال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</w:t>
      </w:r>
      <w:r w:rsidR="00AA40C7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ي الاسرائيلي </w:t>
      </w:r>
      <w:r w:rsidR="00AA40C7" w:rsidRPr="00126FA0">
        <w:rPr>
          <w:rFonts w:ascii="Traditional Arabic" w:hAnsi="Traditional Arabic" w:cs="Arial"/>
          <w:i/>
          <w:iCs/>
          <w:sz w:val="32"/>
          <w:szCs w:val="32"/>
          <w:rtl/>
          <w:lang w:bidi="he-IL"/>
        </w:rPr>
        <w:t>משקפים</w:t>
      </w:r>
      <w:r w:rsidR="00AA40C7" w:rsidRPr="00126FA0">
        <w:rPr>
          <w:rFonts w:ascii="Traditional Arabic" w:hAnsi="Traditional Arabic" w:cs="Traditional Arabic"/>
          <w:i/>
          <w:iCs/>
          <w:sz w:val="32"/>
          <w:szCs w:val="32"/>
          <w:rtl/>
          <w:lang w:bidi="he-IL"/>
        </w:rPr>
        <w:t xml:space="preserve"> </w:t>
      </w:r>
      <w:proofErr w:type="spellStart"/>
      <w:r w:rsidR="00AA40C7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mishkafáim</w:t>
      </w:r>
      <w:proofErr w:type="spellEnd"/>
      <w:r w:rsidR="00AA40C7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’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نظارات</w:t>
      </w:r>
      <w:r w:rsidR="00AA40C7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‘:</w:t>
      </w:r>
    </w:p>
    <w:p w14:paraId="1EDFB8FF" w14:textId="77777777" w:rsidR="00AA40C7" w:rsidRPr="00126FA0" w:rsidRDefault="00AA40C7" w:rsidP="00AA40C7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noProof/>
          <w:sz w:val="32"/>
          <w:szCs w:val="32"/>
          <w:rtl/>
          <w:lang w:val="en-AU" w:eastAsia="en-AU" w:bidi="he-IL"/>
        </w:rPr>
        <w:drawing>
          <wp:inline distT="0" distB="0" distL="0" distR="0" wp14:anchorId="7DACD104" wp14:editId="69DB8741">
            <wp:extent cx="5562600" cy="200977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7C8D0A7" w14:textId="77777777" w:rsidR="000C727E" w:rsidRPr="00927002" w:rsidRDefault="000C727E" w:rsidP="000C727E">
      <w:pPr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</w:pP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الشكل 2: </w:t>
      </w:r>
      <w:proofErr w:type="spellStart"/>
      <w:r w:rsidRPr="00927002">
        <w:rPr>
          <w:rFonts w:ascii="Traditional Arabic" w:hAnsi="Traditional Arabic" w:cs="Traditional Arabic"/>
          <w:b/>
          <w:bCs/>
          <w:i/>
          <w:iCs/>
          <w:sz w:val="24"/>
          <w:szCs w:val="24"/>
        </w:rPr>
        <w:t>mishkafáim</w:t>
      </w:r>
      <w:proofErr w:type="spellEnd"/>
    </w:p>
    <w:p w14:paraId="3DF94B1E" w14:textId="77777777" w:rsidR="0042309B" w:rsidRPr="00126FA0" w:rsidRDefault="00DF71A4" w:rsidP="0042309B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من الصعوبات التي واجهت محيي</w:t>
      </w:r>
      <w:r w:rsidR="003E183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اللغة العبرية كانت الفراغات المعجمية في اللغة</w:t>
      </w:r>
      <w:r w:rsidR="000C727E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 w:rsidR="003E183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</w:t>
      </w:r>
      <w:r w:rsidR="000C727E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قد حاولوا أن يستخدموا مصادر داخلية </w:t>
      </w:r>
      <w:r w:rsidR="00E6161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من ذات اللغة للإثراء المعجمي، لكنهم </w:t>
      </w:r>
      <w:r w:rsidR="003E183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اصطدموا</w:t>
      </w:r>
      <w:r w:rsidR="00E6161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بقلة الجذور. </w:t>
      </w:r>
      <w:r w:rsidR="000D67E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ولهذا فقد </w:t>
      </w:r>
      <w:r w:rsidR="00954C8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قاموا بتغيير معاني الكلمات العبرية 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المندثرة</w:t>
      </w:r>
      <w:r w:rsidR="00954C8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لجعلها معاصرة، وغالباً ما احتوى هذا التغيير على تطابق دلالي 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لفظي</w:t>
      </w:r>
      <w:r w:rsidR="00954C8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.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إن اللغة</w:t>
      </w:r>
      <w:r w:rsidR="00954C8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الاسرائيلية 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تحتوي </w:t>
      </w:r>
      <w:r w:rsidR="00954C8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على حوالي 300 تطابق دلال</w:t>
      </w:r>
      <w:r w:rsidR="001C5D26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ي</w:t>
      </w:r>
      <w:r w:rsidR="00A5488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لفظي</w:t>
      </w:r>
      <w:r w:rsidR="00A5488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(راجع </w:t>
      </w:r>
      <w:r w:rsidR="00FD77E1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A5488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2003، 2008)، 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وذلك</w:t>
      </w:r>
      <w:r w:rsidR="00A5488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لأن 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استحداث </w:t>
      </w:r>
      <w:r w:rsidR="001C5D26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اللفظة الجديدة من خلال </w:t>
      </w:r>
      <w:r w:rsidR="002A23CF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عدة مصادر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يؤدي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إلى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</w:p>
    <w:p w14:paraId="1FC39D6F" w14:textId="77777777" w:rsidR="00927002" w:rsidRDefault="0042309B" w:rsidP="0042309B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إخفاء</w:t>
      </w:r>
      <w:r w:rsidR="001C5D26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التأثير الأجنبي </w:t>
      </w:r>
      <w:r w:rsidR="000D67E1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عن</w:t>
      </w:r>
      <w:r w:rsidR="001C5D26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المتحدثين الأصليين، وبهذا </w:t>
      </w: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يضمن</w:t>
      </w:r>
      <w:r w:rsidR="001C5D26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أن </w:t>
      </w:r>
      <w:r w:rsidR="002A23CF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يتقبلها المتحدث الأصلي</w:t>
      </w:r>
    </w:p>
    <w:p w14:paraId="2E7B7581" w14:textId="77777777" w:rsidR="00927002" w:rsidRPr="00927002" w:rsidRDefault="0042309B" w:rsidP="00927002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السماح</w:t>
      </w:r>
      <w:r w:rsidR="00A5488B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بإعادة تدوير الجذور والكلمات الأصلية </w:t>
      </w: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المندثرة</w:t>
      </w:r>
      <w:r w:rsidR="00A5488B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، مما يسر المتمسكين بنقاوة اللغة</w:t>
      </w:r>
    </w:p>
    <w:p w14:paraId="5157A8F5" w14:textId="77777777" w:rsidR="00927002" w:rsidRPr="00927002" w:rsidRDefault="0042309B" w:rsidP="00927002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مساعدة</w:t>
      </w:r>
      <w:r w:rsidR="00A5488B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المتعلمين والمتحدثين الم</w:t>
      </w:r>
      <w:r w:rsidR="005070A9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عاصرين على تعلم اللغة</w:t>
      </w:r>
    </w:p>
    <w:p w14:paraId="2AF9A9B4" w14:textId="77777777" w:rsidR="00927002" w:rsidRPr="00927002" w:rsidRDefault="00927002" w:rsidP="00927002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الهزل</w:t>
      </w:r>
      <w:r w:rsidR="002A23CF" w:rsidRPr="00927002">
        <w:rPr>
          <w:rFonts w:ascii="Traditional Arabic" w:hAnsi="Traditional Arabic" w:cs="Traditional Arabic"/>
          <w:sz w:val="32"/>
          <w:szCs w:val="32"/>
          <w:lang w:bidi="ar-IQ"/>
        </w:rPr>
        <w:t xml:space="preserve"> </w:t>
      </w:r>
      <w:r w:rsidR="000D1FF9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(راجع </w:t>
      </w:r>
      <w:r w:rsidR="000D1FF9" w:rsidRPr="00927002">
        <w:rPr>
          <w:rFonts w:ascii="Traditional Arabic" w:hAnsi="Traditional Arabic" w:cs="Traditional Arabic"/>
          <w:i/>
          <w:iCs/>
          <w:sz w:val="32"/>
          <w:szCs w:val="32"/>
          <w:rtl/>
          <w:lang w:bidi="ar-IQ"/>
        </w:rPr>
        <w:t xml:space="preserve">بيلبول </w:t>
      </w:r>
      <w:r w:rsidR="000D1FF9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ومنهج التفسير</w:t>
      </w:r>
      <w:r w:rsidR="000D1FF9" w:rsidRPr="00927002">
        <w:rPr>
          <w:rFonts w:ascii="Traditional Arabic" w:hAnsi="Traditional Arabic" w:cs="Traditional Arabic"/>
          <w:i/>
          <w:iCs/>
          <w:sz w:val="32"/>
          <w:szCs w:val="32"/>
          <w:rtl/>
          <w:lang w:bidi="ar-IQ"/>
        </w:rPr>
        <w:t xml:space="preserve"> </w:t>
      </w:r>
      <w:r w:rsidR="000D1FF9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الوعظي المقترن بتأويل للكلام (المدراشي)</w:t>
      </w:r>
    </w:p>
    <w:p w14:paraId="46F02B0B" w14:textId="77777777" w:rsidR="00927002" w:rsidRDefault="003B6097" w:rsidP="0042309B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الأبول</w:t>
      </w:r>
      <w:r w:rsidR="0056652C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ونية وهي الميل </w:t>
      </w:r>
      <w:r w:rsidR="00822DBD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إلى</w:t>
      </w:r>
      <w:r w:rsidR="0056652C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خلق المعنى أو ترتيبه </w:t>
      </w: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(راجع </w:t>
      </w:r>
      <w:r w:rsidR="0056652C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مثلاً</w:t>
      </w:r>
      <w:r w:rsidR="00927002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</w:t>
      </w:r>
      <w:r w:rsidR="005C1DA4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الإيتومولوجيا الشعبية</w:t>
      </w: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)</w:t>
      </w:r>
    </w:p>
    <w:p w14:paraId="06B017DF" w14:textId="77777777" w:rsidR="0042309B" w:rsidRPr="00927002" w:rsidRDefault="003B6097" w:rsidP="00927002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الأيقونية </w:t>
      </w:r>
      <w:r w:rsidR="00927002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وهي </w:t>
      </w:r>
      <w:r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الاعتقاد أن هناك </w:t>
      </w:r>
      <w:r w:rsidR="006E40CF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شيء متأصل في لفظ الأسماء</w:t>
      </w:r>
    </w:p>
    <w:p w14:paraId="2C907571" w14:textId="77777777" w:rsidR="0042309B" w:rsidRPr="00126FA0" w:rsidRDefault="006E40CF" w:rsidP="00927002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الدبلوماسية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="00454A78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/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التصميم المعجمي </w:t>
      </w:r>
      <w:r w:rsidR="00927002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الانتقاصي</w:t>
      </w:r>
    </w:p>
    <w:p w14:paraId="3CF64911" w14:textId="77777777" w:rsidR="004B5313" w:rsidRPr="00126FA0" w:rsidRDefault="00454A78" w:rsidP="0042309B">
      <w:pPr>
        <w:pStyle w:val="ListParagraph"/>
        <w:numPr>
          <w:ilvl w:val="0"/>
          <w:numId w:val="1"/>
        </w:numPr>
        <w:bidi/>
        <w:ind w:left="360"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lastRenderedPageBreak/>
        <w:t>جذب الزبائن (في حال أسماء العلامات التجارية) (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راجع </w:t>
      </w:r>
      <w:r w:rsidR="00FD77E1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2006)</w:t>
      </w:r>
    </w:p>
    <w:p w14:paraId="4F5DE2EC" w14:textId="77777777" w:rsidR="00230725" w:rsidRPr="00927002" w:rsidRDefault="00454A78" w:rsidP="0042309B">
      <w:pPr>
        <w:bidi/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انظر </w:t>
      </w:r>
      <w:r w:rsidR="00822DBD"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>إلى</w:t>
      </w: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 التطابق الدلالي </w:t>
      </w:r>
      <w:r w:rsidR="005C1DA4"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>اللفظي</w:t>
      </w: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 أدناه (</w:t>
      </w:r>
      <w:r w:rsidR="0042309B"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>المصدر</w:t>
      </w: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 أكاديمية اللغة العبرية) </w:t>
      </w:r>
      <w:r w:rsidRPr="00927002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en-AU" w:eastAsia="en-AU" w:bidi="he-IL"/>
        </w:rPr>
        <w:drawing>
          <wp:inline distT="0" distB="0" distL="0" distR="0" wp14:anchorId="25E0ABBF" wp14:editId="37297DC7">
            <wp:extent cx="5568042" cy="2275115"/>
            <wp:effectExtent l="0" t="0" r="0" b="0"/>
            <wp:docPr id="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="00230725"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br/>
        <w:t xml:space="preserve">الشكل 3: </w:t>
      </w:r>
      <w:proofErr w:type="spellStart"/>
      <w:r w:rsidR="00230725" w:rsidRPr="00927002">
        <w:rPr>
          <w:rFonts w:ascii="Traditional Arabic" w:hAnsi="Traditional Arabic" w:cs="Traditional Arabic"/>
          <w:b/>
          <w:bCs/>
          <w:i/>
          <w:iCs/>
          <w:sz w:val="24"/>
          <w:szCs w:val="24"/>
        </w:rPr>
        <w:t>dibúv</w:t>
      </w:r>
      <w:proofErr w:type="spellEnd"/>
    </w:p>
    <w:p w14:paraId="5FD75817" w14:textId="77777777" w:rsidR="00230725" w:rsidRPr="00126FA0" w:rsidRDefault="00230725" w:rsidP="0042309B">
      <w:pPr>
        <w:bidi/>
        <w:rPr>
          <w:rFonts w:ascii="Traditional Arabic" w:hAnsi="Traditional Arabic" w:cs="Traditional Arabic"/>
          <w:noProof/>
          <w:sz w:val="32"/>
          <w:szCs w:val="32"/>
          <w:rtl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التطابق الدلالي </w:t>
      </w:r>
      <w:r w:rsidR="0042309B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اللفظي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أدناه متداخل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إلى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حد ما </w:t>
      </w:r>
      <w:r w:rsidR="00C9381E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حيث أنه من الممكن أن نتتبع الكلمة اليديشية </w:t>
      </w:r>
      <w:proofErr w:type="spellStart"/>
      <w:r w:rsidR="00C9381E" w:rsidRPr="00126FA0">
        <w:rPr>
          <w:rFonts w:ascii="Traditional Arabic" w:hAnsi="Traditional Arabic" w:cs="Traditional Arabic"/>
          <w:i/>
          <w:iCs/>
          <w:sz w:val="32"/>
          <w:szCs w:val="32"/>
        </w:rPr>
        <w:t>shákher</w:t>
      </w:r>
      <w:proofErr w:type="spellEnd"/>
      <w:r w:rsidR="00C9381E" w:rsidRPr="00126FA0">
        <w:rPr>
          <w:rFonts w:ascii="Traditional Arabic" w:hAnsi="Traditional Arabic" w:cs="Traditional Arabic"/>
          <w:i/>
          <w:iCs/>
          <w:sz w:val="32"/>
          <w:szCs w:val="32"/>
          <w:rtl/>
        </w:rPr>
        <w:t xml:space="preserve"> </w:t>
      </w:r>
      <w:r w:rsidR="00C9381E" w:rsidRPr="00126FA0">
        <w:rPr>
          <w:rFonts w:ascii="Traditional Arabic" w:hAnsi="Traditional Arabic" w:cs="Traditional Arabic"/>
          <w:sz w:val="32"/>
          <w:szCs w:val="32"/>
          <w:rtl/>
        </w:rPr>
        <w:t xml:space="preserve">وصولاً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C9381E" w:rsidRPr="00126FA0">
        <w:rPr>
          <w:rFonts w:ascii="Traditional Arabic" w:hAnsi="Traditional Arabic" w:cs="Traditional Arabic"/>
          <w:sz w:val="32"/>
          <w:szCs w:val="32"/>
          <w:rtl/>
        </w:rPr>
        <w:t xml:space="preserve"> الكلمة العبرية </w:t>
      </w:r>
      <w:r w:rsidR="00C9381E" w:rsidRPr="00126FA0">
        <w:rPr>
          <w:rFonts w:ascii="Traditional Arabic" w:hAnsi="Traditional Arabic" w:cs="Traditional Arabic"/>
          <w:i/>
          <w:iCs/>
          <w:noProof/>
          <w:sz w:val="32"/>
          <w:szCs w:val="32"/>
        </w:rPr>
        <w:t>sá</w:t>
      </w:r>
      <w:r w:rsidR="00C9381E" w:rsidRPr="00126FA0">
        <w:rPr>
          <w:rFonts w:cs="Traditional Arabic"/>
          <w:i/>
          <w:iCs/>
          <w:noProof/>
          <w:sz w:val="32"/>
          <w:szCs w:val="32"/>
        </w:rPr>
        <w:t>ħ</w:t>
      </w:r>
      <w:r w:rsidR="00C9381E" w:rsidRPr="00126FA0">
        <w:rPr>
          <w:rFonts w:ascii="Traditional Arabic" w:hAnsi="Traditional Arabic" w:cs="Traditional Arabic"/>
          <w:i/>
          <w:iCs/>
          <w:noProof/>
          <w:sz w:val="32"/>
          <w:szCs w:val="32"/>
        </w:rPr>
        <w:t>ar</w:t>
      </w:r>
      <w:r w:rsidR="00C9381E" w:rsidRPr="00126FA0">
        <w:rPr>
          <w:rFonts w:ascii="Traditional Arabic" w:hAnsi="Traditional Arabic" w:cs="Traditional Arabic"/>
          <w:noProof/>
          <w:sz w:val="32"/>
          <w:szCs w:val="32"/>
          <w:rtl/>
        </w:rPr>
        <w:t xml:space="preserve">: </w:t>
      </w:r>
    </w:p>
    <w:p w14:paraId="635B5AD2" w14:textId="77777777" w:rsidR="00DF71A4" w:rsidRPr="00126FA0" w:rsidRDefault="00C9381E" w:rsidP="00DF71A4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noProof/>
          <w:sz w:val="32"/>
          <w:szCs w:val="32"/>
          <w:rtl/>
          <w:lang w:val="en-AU" w:eastAsia="en-AU" w:bidi="he-IL"/>
        </w:rPr>
        <w:drawing>
          <wp:inline distT="0" distB="0" distL="0" distR="0" wp14:anchorId="4DCB0865" wp14:editId="010DE103">
            <wp:extent cx="6025696" cy="2275114"/>
            <wp:effectExtent l="0" t="0" r="0" b="0"/>
            <wp:docPr id="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42B81CC8" w14:textId="77777777" w:rsidR="00494DEF" w:rsidRPr="00927002" w:rsidRDefault="00494DEF" w:rsidP="00494DEF">
      <w:pPr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</w:pPr>
      <w:r w:rsidRPr="00927002">
        <w:rPr>
          <w:rFonts w:ascii="Traditional Arabic" w:hAnsi="Traditional Arabic" w:cs="Traditional Arabic"/>
          <w:b/>
          <w:bCs/>
          <w:sz w:val="24"/>
          <w:szCs w:val="24"/>
          <w:rtl/>
          <w:lang w:bidi="ar-IQ"/>
        </w:rPr>
        <w:t xml:space="preserve">الشكل 4: </w:t>
      </w:r>
      <w:proofErr w:type="spellStart"/>
      <w:r w:rsidRPr="00927002">
        <w:rPr>
          <w:rFonts w:ascii="Traditional Arabic" w:hAnsi="Traditional Arabic" w:cs="Traditional Arabic"/>
          <w:b/>
          <w:bCs/>
          <w:sz w:val="24"/>
          <w:szCs w:val="24"/>
        </w:rPr>
        <w:t>s</w:t>
      </w:r>
      <w:r w:rsidRPr="00927002">
        <w:rPr>
          <w:rFonts w:ascii="Traditional Arabic" w:hAnsi="Traditional Arabic" w:cs="Traditional Arabic"/>
          <w:b/>
          <w:bCs/>
          <w:i/>
          <w:iCs/>
          <w:sz w:val="24"/>
          <w:szCs w:val="24"/>
        </w:rPr>
        <w:t>ákhar</w:t>
      </w:r>
      <w:proofErr w:type="spellEnd"/>
      <w:r w:rsidRPr="00927002">
        <w:rPr>
          <w:rFonts w:ascii="Traditional Arabic" w:hAnsi="Traditional Arabic" w:cs="Traditional Arabic"/>
          <w:b/>
          <w:bCs/>
          <w:i/>
          <w:iCs/>
          <w:sz w:val="24"/>
          <w:szCs w:val="24"/>
        </w:rPr>
        <w:t xml:space="preserve"> </w:t>
      </w:r>
      <w:proofErr w:type="spellStart"/>
      <w:r w:rsidRPr="00927002">
        <w:rPr>
          <w:rFonts w:ascii="Traditional Arabic" w:hAnsi="Traditional Arabic" w:cs="Traditional Arabic"/>
          <w:b/>
          <w:bCs/>
          <w:i/>
          <w:iCs/>
          <w:sz w:val="24"/>
          <w:szCs w:val="24"/>
        </w:rPr>
        <w:t>mékher</w:t>
      </w:r>
      <w:proofErr w:type="spellEnd"/>
    </w:p>
    <w:p w14:paraId="2C34ED1D" w14:textId="77777777" w:rsidR="00D93681" w:rsidRPr="00126FA0" w:rsidRDefault="00494DEF" w:rsidP="00822DBD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في التطابق الدلالي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اللفظي</w:t>
      </w:r>
      <w:r w:rsidR="00927002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غالباً ما </w:t>
      </w:r>
      <w:r w:rsidR="00927002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تُم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لي اللغة الأصل اختيار الجذر ووزن الاسم، مما يجعل تأثيرها</w:t>
      </w:r>
      <w:r w:rsidR="00FC13E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على </w:t>
      </w:r>
      <w:r w:rsidR="00FC13E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بنية الكلمة في اللغة </w:t>
      </w:r>
      <w:r w:rsidR="00C34A0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المستهدفة مموهاً، و</w:t>
      </w:r>
      <w:r w:rsidR="00FC13E0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على سبيل المثال</w:t>
      </w:r>
      <w:r w:rsidR="00E918D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الكلمة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الاسرائيلية </w:t>
      </w:r>
      <w:proofErr w:type="spellStart"/>
      <w:r w:rsidR="00822DBD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miv</w:t>
      </w:r>
      <w:r w:rsidR="00822DBD" w:rsidRPr="00126FA0"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  <w:t>dók</w:t>
      </w:r>
      <w:proofErr w:type="spellEnd"/>
      <w:r w:rsidR="00E918D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تطابق في الدلالة واللفظ الكلمة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الانجليزية </w:t>
      </w:r>
      <w:r w:rsidR="00822DBD" w:rsidRPr="00126FA0"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  <w:t>dock</w:t>
      </w:r>
      <w:r w:rsidR="00E918DC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وكان بإمكان </w:t>
      </w:r>
      <w:r w:rsidR="00D93681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من استحضر هذه المفردة الاسرائيلية أن يستخدم تصريفات أخرى للكلمة مثل </w:t>
      </w:r>
      <w:r w:rsidR="00D93681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mi</w:t>
      </w:r>
      <w:r w:rsidR="00D93681" w:rsidRPr="00126FA0">
        <w:rPr>
          <w:rFonts w:ascii="Traditional Arabic" w:cs="Traditional Arabic"/>
          <w:i/>
          <w:iCs/>
          <w:sz w:val="32"/>
          <w:szCs w:val="32"/>
        </w:rPr>
        <w:t>⌂⌂</w:t>
      </w:r>
      <w:proofErr w:type="spellStart"/>
      <w:r w:rsidR="00D93681" w:rsidRPr="00126FA0">
        <w:rPr>
          <w:rFonts w:ascii="Traditional Arabic" w:hAnsi="Traditional Arabic" w:cs="Traditional Arabic"/>
          <w:i/>
          <w:iCs/>
          <w:sz w:val="32"/>
          <w:szCs w:val="32"/>
        </w:rPr>
        <w:t>a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</w:rPr>
        <w:t>á</w:t>
      </w:r>
      <w:proofErr w:type="spellEnd"/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ma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⌂⌂</w:t>
      </w:r>
      <w:proofErr w:type="spellStart"/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</w:rPr>
        <w:t>e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</w:rPr>
        <w:t>á</w:t>
      </w:r>
      <w:proofErr w:type="spellEnd"/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mi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⌂⌂</w:t>
      </w:r>
      <w:proofErr w:type="spellStart"/>
      <w:r w:rsidR="00822DBD" w:rsidRPr="00126FA0">
        <w:rPr>
          <w:rFonts w:ascii="Traditional Arabic" w:hAnsi="Traditional Arabic" w:cs="Traditional Arabic"/>
          <w:i/>
          <w:iCs/>
          <w:sz w:val="32"/>
          <w:szCs w:val="32"/>
        </w:rPr>
        <w:t>é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</w:rPr>
        <w:t>et</w:t>
      </w:r>
      <w:proofErr w:type="spellEnd"/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mi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⌂⌂</w:t>
      </w:r>
      <w:proofErr w:type="spellStart"/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</w:rPr>
        <w:t>a</w:t>
      </w:r>
      <w:r w:rsidR="00710BA5" w:rsidRPr="00126FA0">
        <w:rPr>
          <w:rFonts w:ascii="Traditional Arabic" w:cs="Traditional Arabic"/>
          <w:i/>
          <w:iCs/>
          <w:sz w:val="32"/>
          <w:szCs w:val="32"/>
        </w:rPr>
        <w:t>⌂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</w:rPr>
        <w:t>áim</w:t>
      </w:r>
      <w:proofErr w:type="spellEnd"/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، الخ (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حيث 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كل </w:t>
      </w:r>
      <w:r w:rsidR="00710BA5" w:rsidRPr="00126FA0">
        <w:rPr>
          <w:rFonts w:ascii="Traditional Arabic" w:cs="Traditional Arabic"/>
          <w:sz w:val="32"/>
          <w:szCs w:val="32"/>
        </w:rPr>
        <w:t>⌂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</w:rPr>
        <w:t>ي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</w:rPr>
        <w:t xml:space="preserve">مثل موضع 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لإدخال أحد حروف جذر الكلمة). ولكنه استخدم </w:t>
      </w:r>
      <w:r w:rsidR="00710BA5" w:rsidRPr="00927002">
        <w:rPr>
          <w:rFonts w:ascii="Traditional Arabic" w:hAnsi="Traditional Arabic" w:cs="Traditional Arabic"/>
          <w:i/>
          <w:iCs/>
          <w:sz w:val="32"/>
          <w:szCs w:val="32"/>
        </w:rPr>
        <w:t>mi</w:t>
      </w:r>
      <w:r w:rsidR="00710BA5" w:rsidRPr="00927002">
        <w:rPr>
          <w:rFonts w:ascii="Traditional Arabic" w:cs="Traditional Arabic"/>
          <w:i/>
          <w:iCs/>
          <w:sz w:val="32"/>
          <w:szCs w:val="32"/>
        </w:rPr>
        <w:t>⌂⌂</w:t>
      </w:r>
      <w:r w:rsidR="00710BA5" w:rsidRPr="00927002">
        <w:rPr>
          <w:rFonts w:ascii="Traditional Arabic" w:hAnsi="Traditional Arabic" w:cs="Traditional Arabic"/>
          <w:i/>
          <w:iCs/>
          <w:sz w:val="32"/>
          <w:szCs w:val="32"/>
        </w:rPr>
        <w:t>o</w:t>
      </w:r>
      <w:r w:rsidR="00710BA5" w:rsidRPr="00927002">
        <w:rPr>
          <w:rFonts w:ascii="Traditional Arabic" w:cs="Traditional Arabic"/>
          <w:i/>
          <w:iCs/>
          <w:sz w:val="32"/>
          <w:szCs w:val="32"/>
        </w:rPr>
        <w:t>⌂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مع أنه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ليس 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أفضل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من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التصريفات الأخرى،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إلا أن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حرف الـ</w:t>
      </w:r>
      <w:r w:rsidR="00710BA5" w:rsidRPr="00126FA0">
        <w:rPr>
          <w:rFonts w:ascii="Traditional Arabic" w:hAnsi="Traditional Arabic" w:cs="Traditional Arabic"/>
          <w:sz w:val="32"/>
          <w:szCs w:val="32"/>
          <w:lang w:bidi="ar-IQ"/>
        </w:rPr>
        <w:t>o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فيه يجعل المقطع الأخير في كلمة </w:t>
      </w:r>
      <w:proofErr w:type="spellStart"/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miv</w:t>
      </w:r>
      <w:r w:rsidR="00710BA5" w:rsidRPr="00126FA0"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  <w:t>dók</w:t>
      </w:r>
      <w:proofErr w:type="spellEnd"/>
      <w:r w:rsidR="00710BA5" w:rsidRPr="00126FA0">
        <w:rPr>
          <w:rFonts w:ascii="Traditional Arabic" w:hAnsi="Traditional Arabic" w:cs="Traditional Arabic"/>
          <w:b/>
          <w:bCs/>
          <w:i/>
          <w:iCs/>
          <w:sz w:val="32"/>
          <w:szCs w:val="32"/>
          <w:rtl/>
          <w:lang w:bidi="ar-IQ"/>
        </w:rPr>
        <w:t xml:space="preserve"> 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مشابه لكلمة 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  <w:lang w:bidi="ar-IQ"/>
        </w:rPr>
        <w:t>dock</w:t>
      </w:r>
      <w:r w:rsidR="00710BA5" w:rsidRPr="00126FA0">
        <w:rPr>
          <w:rFonts w:ascii="Traditional Arabic" w:hAnsi="Traditional Arabic" w:cs="Traditional Arabic"/>
          <w:i/>
          <w:iCs/>
          <w:sz w:val="32"/>
          <w:szCs w:val="32"/>
          <w:rtl/>
          <w:lang w:bidi="ar-IQ"/>
        </w:rPr>
        <w:t xml:space="preserve"> </w:t>
      </w:r>
      <w:r w:rsidR="00710BA5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بالانجليزية.</w:t>
      </w:r>
    </w:p>
    <w:p w14:paraId="05793DD1" w14:textId="77777777" w:rsidR="00FF7AA4" w:rsidRDefault="00FC13E0" w:rsidP="005C1DA4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التصنيفات التقليدية للاستعارة (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راجع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هاوغن 1950) تغض النظر عن التطابق الدلالي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اللفظي وتصن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ف الاستعارة كاستبدال أو استيراد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للمفردات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، بينما واقع الحال أن التطابق الدلالي ال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لفظي ظاهرة مميزة تعمل عبر 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استبدال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استيراد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المفردات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في نفس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الوقت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. مع ذلك، يجب أن لا يتم الخلط بين التطابق الدلالي ال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ي والترجمة الاقتراضية حيث أن الأخيرة تفتقر 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إلى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عنصر التطابق ال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ي.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إن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 تمييز التطابق الدلالي ال</w:t>
      </w:r>
      <w:r w:rsidR="00822D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لفظ</w:t>
      </w:r>
      <w:r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ي له </w:t>
      </w:r>
      <w:r w:rsidR="000C0F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ترتبات بالغة الأهمية من حيث التهجين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وتعدد المصادر</w:t>
      </w:r>
      <w:r w:rsidR="000C0F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،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والأمر ليس منحصر با</w:t>
      </w:r>
      <w:r w:rsidR="000C0F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لمعجمية وعلم اللغة التاريخي المقارن، وإنما 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يمتد لعلم اللغة الاجتماعي و</w:t>
      </w:r>
      <w:r w:rsidR="000C0F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الدراسات الثقافية وعلم الإحياء (</w:t>
      </w:r>
      <w:r w:rsidR="005C1DA4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و</w:t>
      </w:r>
      <w:r w:rsidR="000C0FBD" w:rsidRPr="00126FA0">
        <w:rPr>
          <w:rFonts w:ascii="Traditional Arabic" w:hAnsi="Traditional Arabic" w:cs="Traditional Arabic"/>
          <w:sz w:val="32"/>
          <w:szCs w:val="32"/>
          <w:rtl/>
          <w:lang w:bidi="ar-IQ"/>
        </w:rPr>
        <w:t>من ضمنه إحياء اللغة).</w:t>
      </w:r>
    </w:p>
    <w:p w14:paraId="17452AF5" w14:textId="77777777" w:rsidR="00FF7AA4" w:rsidRDefault="00FF7AA4">
      <w:pPr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>
        <w:rPr>
          <w:rFonts w:ascii="Traditional Arabic" w:hAnsi="Traditional Arabic" w:cs="Traditional Arabic"/>
          <w:sz w:val="32"/>
          <w:szCs w:val="32"/>
          <w:rtl/>
          <w:lang w:bidi="ar-IQ"/>
        </w:rPr>
        <w:br w:type="page"/>
      </w:r>
    </w:p>
    <w:p w14:paraId="538DBD0A" w14:textId="77777777" w:rsidR="00FC13E0" w:rsidRPr="00FF7AA4" w:rsidRDefault="00FF7AA4" w:rsidP="005C1DA4">
      <w:pPr>
        <w:bidi/>
        <w:rPr>
          <w:rFonts w:ascii="Traditional Arabic" w:hAnsi="Traditional Arabic" w:cs="Traditional Arabic"/>
          <w:sz w:val="32"/>
          <w:szCs w:val="32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lastRenderedPageBreak/>
        <w:t>المصادر</w:t>
      </w:r>
    </w:p>
    <w:p w14:paraId="7F99FFC5" w14:textId="77777777" w:rsidR="00FF7AA4" w:rsidRDefault="00FF7AA4" w:rsidP="00FF7AA4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ديمندال، غيرت ج 2001. ’الانتشار الجغرافي مقابل الوراثة الجينية: منظور أفريقي‘. في كتاب أ. ي. أيكنفالد و ر. م. و. دكسون (محررين)، ص. 358-92. </w:t>
      </w:r>
      <w:r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 xml:space="preserve">الانتشار الجغرافي والوراثة الجينية: قضايا في علم اللغة المقارنة. </w:t>
      </w:r>
      <w:r w:rsidRPr="00FF7AA4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أوكسفورد: مطبعة جامعة أوكسفورد.</w:t>
      </w:r>
    </w:p>
    <w:p w14:paraId="51F63249" w14:textId="77777777" w:rsidR="00FF7AA4" w:rsidRDefault="00FF7AA4" w:rsidP="00FF7AA4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هاوغن، إينار (إنغفالد) 1950. ’تحليل الاستعارة اللغوية‘. </w:t>
      </w:r>
      <w:r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>اللغة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26: 210-31. بالتيمور: ويفرلي.</w:t>
      </w:r>
    </w:p>
    <w:p w14:paraId="6CF3EEF6" w14:textId="70F46852" w:rsidR="00FF7AA4" w:rsidRDefault="00FF7AA4" w:rsidP="00FF7AA4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سابر، ياير و</w:t>
      </w:r>
      <w:r w:rsidR="00FD77E1"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، </w:t>
      </w:r>
      <w:r w:rsidR="00961E0E">
        <w:rPr>
          <w:rFonts w:ascii="Traditional Arabic" w:hAnsi="Traditional Arabic" w:cs="Traditional Arabic"/>
          <w:sz w:val="32"/>
          <w:szCs w:val="32"/>
          <w:rtl/>
          <w:lang w:bidi="ar-IQ"/>
        </w:rPr>
        <w:t>جلعاد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2008. ’التطابق الدلالي اللفظي الآيسلندي‘، ص. 19-43 (الفصل الثاني) (المراجع: 296-325) من جودث روزنهاوس وروتم كاونر (محررين)، </w:t>
      </w:r>
      <w:r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>التحدث عالمياً: دوافع لتبني المفردات الانجليزية في اللغات الأخرى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. كليفدن 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بفلو </w:t>
      </w: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تورونتو: مسائل متعددة اللغات.</w:t>
      </w:r>
    </w:p>
    <w:p w14:paraId="65234867" w14:textId="7E870D72" w:rsidR="0080437B" w:rsidRDefault="00FD77E1" w:rsidP="0080437B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، </w:t>
      </w:r>
      <w:r w:rsidR="00961E0E">
        <w:rPr>
          <w:rFonts w:ascii="Traditional Arabic" w:hAnsi="Traditional Arabic" w:cs="Traditional Arabic"/>
          <w:sz w:val="32"/>
          <w:szCs w:val="32"/>
          <w:rtl/>
          <w:lang w:bidi="ar-IQ"/>
        </w:rPr>
        <w:t>جلعاد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1999. نقد لمقال ناكديمون شابيثي دونياج واهوفيا كاهاني (محررين). </w:t>
      </w:r>
      <w:r w:rsidR="0080437B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>قاموس أوكسفورد انجليزي-عبري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. أوكسفورد </w:t>
      </w:r>
      <w:r w:rsidR="0080437B">
        <w:rPr>
          <w:rFonts w:ascii="Traditional Arabic" w:hAnsi="Traditional Arabic" w:cs="Traditional Arabic"/>
          <w:sz w:val="32"/>
          <w:szCs w:val="32"/>
          <w:rtl/>
          <w:lang w:bidi="ar-IQ"/>
        </w:rPr>
        <w:t>–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نيويورك: مطبعة جامعة أوكسفورد، 1998. </w:t>
      </w:r>
      <w:r w:rsidR="0080437B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 xml:space="preserve">المجلة الدولية للصناعة المعجمية 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12: 325-46.</w:t>
      </w:r>
    </w:p>
    <w:p w14:paraId="159D8D22" w14:textId="28711C26" w:rsidR="0080437B" w:rsidRDefault="00FD77E1" w:rsidP="0080437B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80437B" w:rsidRP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، </w:t>
      </w:r>
      <w:r w:rsidR="00961E0E">
        <w:rPr>
          <w:rFonts w:ascii="Traditional Arabic" w:hAnsi="Traditional Arabic" w:cs="Traditional Arabic"/>
          <w:sz w:val="32"/>
          <w:szCs w:val="32"/>
          <w:rtl/>
          <w:lang w:bidi="ar-IQ"/>
        </w:rPr>
        <w:t>جلعاد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2003. </w:t>
      </w:r>
      <w:r w:rsidR="0080437B" w:rsidRPr="0080437B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>احتكاك اللغات والإثراء المعجمي في العبرية الاسرائيلية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. لندن </w:t>
      </w:r>
      <w:r w:rsidR="0080437B">
        <w:rPr>
          <w:rFonts w:ascii="Traditional Arabic" w:hAnsi="Traditional Arabic" w:cs="Traditional Arabic"/>
          <w:sz w:val="32"/>
          <w:szCs w:val="32"/>
          <w:rtl/>
          <w:lang w:bidi="ar-IQ"/>
        </w:rPr>
        <w:t>–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نيويورك: بالغريف ماكملان.</w:t>
      </w:r>
    </w:p>
    <w:p w14:paraId="583C128A" w14:textId="56303B6F" w:rsidR="0080437B" w:rsidRDefault="00FD77E1" w:rsidP="0080437B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، </w:t>
      </w:r>
      <w:r w:rsidR="00961E0E">
        <w:rPr>
          <w:rFonts w:ascii="Traditional Arabic" w:hAnsi="Traditional Arabic" w:cs="Traditional Arabic"/>
          <w:sz w:val="32"/>
          <w:szCs w:val="32"/>
          <w:rtl/>
          <w:lang w:bidi="ar-IQ"/>
        </w:rPr>
        <w:t>جلعاد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2005. ’التطابق الدلالي اللفظي‘ في ستيفن لانغر ودانيل شنوربش (محررين)، </w:t>
      </w:r>
      <w:r w:rsidR="0080437B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>دلالات في المعجم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، توبنغن: غنتر نار، 223-267.</w:t>
      </w:r>
    </w:p>
    <w:p w14:paraId="13A01306" w14:textId="233F492E" w:rsidR="0080437B" w:rsidRDefault="00FD77E1" w:rsidP="0080437B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، </w:t>
      </w:r>
      <w:r w:rsidR="00961E0E">
        <w:rPr>
          <w:rFonts w:ascii="Traditional Arabic" w:hAnsi="Traditional Arabic" w:cs="Traditional Arabic"/>
          <w:sz w:val="32"/>
          <w:szCs w:val="32"/>
          <w:rtl/>
          <w:lang w:bidi="ar-IQ"/>
        </w:rPr>
        <w:t>جلعاد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2006. ’</w:t>
      </w:r>
      <w:r w:rsidR="0080437B" w:rsidRPr="00927002">
        <w:rPr>
          <w:rFonts w:ascii="Traditional Arabic" w:hAnsi="Traditional Arabic" w:cs="Traditional Arabic"/>
          <w:sz w:val="32"/>
          <w:szCs w:val="32"/>
          <w:rtl/>
          <w:lang w:bidi="ar-IQ"/>
        </w:rPr>
        <w:t>الإيتومولوجيا الشعبية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وخلق الآخر وقوة التصميم المعجمي في اليهودية والإسلام والمسيحية: منظور اجتماعي وفلسفي‘، ص. 237-58 (الفصل 16) من توب أومونيي وجوشوا أ. فشمان (محررين)، </w:t>
      </w:r>
      <w:r w:rsidR="0080437B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>بحوث في علم الاجتماع اللغوي والديني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(سلسلة محادثات في السياسة والمجتمع والثقافة). أمستردام: جون بينجامنز.</w:t>
      </w:r>
    </w:p>
    <w:p w14:paraId="7F068D51" w14:textId="38B610D3" w:rsidR="0080437B" w:rsidRPr="0080437B" w:rsidRDefault="00FD77E1" w:rsidP="0080437B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IQ"/>
        </w:rPr>
      </w:pPr>
      <w:r>
        <w:rPr>
          <w:rFonts w:ascii="Traditional Arabic" w:hAnsi="Traditional Arabic" w:cs="Traditional Arabic"/>
          <w:sz w:val="32"/>
          <w:szCs w:val="32"/>
          <w:rtl/>
          <w:lang w:bidi="ar-IQ"/>
        </w:rPr>
        <w:t xml:space="preserve">تسوكرمن 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، </w:t>
      </w:r>
      <w:r w:rsidR="00961E0E">
        <w:rPr>
          <w:rFonts w:ascii="Traditional Arabic" w:hAnsi="Traditional Arabic" w:cs="Traditional Arabic"/>
          <w:sz w:val="32"/>
          <w:szCs w:val="32"/>
          <w:rtl/>
          <w:lang w:bidi="ar-IQ"/>
        </w:rPr>
        <w:t>جلعاد</w:t>
      </w:r>
      <w:r w:rsidR="0080437B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 xml:space="preserve"> 2008، </w:t>
      </w:r>
      <w:r w:rsidR="00A65E8A" w:rsidRPr="00A65E8A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 xml:space="preserve">الاسرائيلية </w:t>
      </w:r>
      <w:r w:rsidR="00A65E8A" w:rsidRPr="00A65E8A">
        <w:rPr>
          <w:rFonts w:ascii="Traditional Arabic" w:hAnsi="Traditional Arabic" w:cs="Traditional Arabic"/>
          <w:i/>
          <w:iCs/>
          <w:sz w:val="32"/>
          <w:szCs w:val="32"/>
          <w:rtl/>
          <w:lang w:bidi="ar-IQ"/>
        </w:rPr>
        <w:t>–</w:t>
      </w:r>
      <w:r w:rsidR="00A65E8A" w:rsidRPr="00A65E8A">
        <w:rPr>
          <w:rFonts w:ascii="Traditional Arabic" w:hAnsi="Traditional Arabic" w:cs="Traditional Arabic" w:hint="cs"/>
          <w:i/>
          <w:iCs/>
          <w:sz w:val="32"/>
          <w:szCs w:val="32"/>
          <w:rtl/>
          <w:lang w:bidi="ar-IQ"/>
        </w:rPr>
        <w:t xml:space="preserve"> لغة جميلة</w:t>
      </w:r>
      <w:r w:rsidR="00A65E8A">
        <w:rPr>
          <w:rFonts w:ascii="Traditional Arabic" w:hAnsi="Traditional Arabic" w:cs="Traditional Arabic" w:hint="cs"/>
          <w:sz w:val="32"/>
          <w:szCs w:val="32"/>
          <w:rtl/>
          <w:lang w:bidi="ar-IQ"/>
        </w:rPr>
        <w:t>. تل أبيب: أم أوفيد.</w:t>
      </w:r>
    </w:p>
    <w:sectPr w:rsidR="0080437B" w:rsidRPr="0080437B" w:rsidSect="00494DEF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01397"/>
    <w:multiLevelType w:val="hybridMultilevel"/>
    <w:tmpl w:val="83DE78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026ED"/>
    <w:multiLevelType w:val="hybridMultilevel"/>
    <w:tmpl w:val="01ECF7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28"/>
    <w:rsid w:val="000770F2"/>
    <w:rsid w:val="00090C90"/>
    <w:rsid w:val="000A7928"/>
    <w:rsid w:val="000B1809"/>
    <w:rsid w:val="000C0FBD"/>
    <w:rsid w:val="000C727E"/>
    <w:rsid w:val="000D1FF9"/>
    <w:rsid w:val="000D67E1"/>
    <w:rsid w:val="00126FA0"/>
    <w:rsid w:val="00141D37"/>
    <w:rsid w:val="001C5D26"/>
    <w:rsid w:val="00230725"/>
    <w:rsid w:val="002A23CF"/>
    <w:rsid w:val="0038667A"/>
    <w:rsid w:val="003B6097"/>
    <w:rsid w:val="003E1830"/>
    <w:rsid w:val="00414A4F"/>
    <w:rsid w:val="0042309B"/>
    <w:rsid w:val="00443EE8"/>
    <w:rsid w:val="00454A78"/>
    <w:rsid w:val="00494DEF"/>
    <w:rsid w:val="004B5313"/>
    <w:rsid w:val="004D1387"/>
    <w:rsid w:val="005040E9"/>
    <w:rsid w:val="005070A9"/>
    <w:rsid w:val="0052282F"/>
    <w:rsid w:val="00540963"/>
    <w:rsid w:val="0056652C"/>
    <w:rsid w:val="00587209"/>
    <w:rsid w:val="005C1DA4"/>
    <w:rsid w:val="006265C8"/>
    <w:rsid w:val="006E40CF"/>
    <w:rsid w:val="00710BA5"/>
    <w:rsid w:val="00766A1F"/>
    <w:rsid w:val="0080437B"/>
    <w:rsid w:val="008166DD"/>
    <w:rsid w:val="00822DBD"/>
    <w:rsid w:val="00830CC8"/>
    <w:rsid w:val="00836143"/>
    <w:rsid w:val="00851FEB"/>
    <w:rsid w:val="00896397"/>
    <w:rsid w:val="00925C0C"/>
    <w:rsid w:val="00927002"/>
    <w:rsid w:val="009400FC"/>
    <w:rsid w:val="00954C81"/>
    <w:rsid w:val="00961E0E"/>
    <w:rsid w:val="00983573"/>
    <w:rsid w:val="009D37BC"/>
    <w:rsid w:val="009E7CF4"/>
    <w:rsid w:val="00A5488B"/>
    <w:rsid w:val="00A65E8A"/>
    <w:rsid w:val="00AA40C7"/>
    <w:rsid w:val="00B57EB0"/>
    <w:rsid w:val="00C34A00"/>
    <w:rsid w:val="00C43AB0"/>
    <w:rsid w:val="00C84C33"/>
    <w:rsid w:val="00C9381E"/>
    <w:rsid w:val="00CA139E"/>
    <w:rsid w:val="00CC19F1"/>
    <w:rsid w:val="00D3660D"/>
    <w:rsid w:val="00D57F59"/>
    <w:rsid w:val="00D93681"/>
    <w:rsid w:val="00DD2216"/>
    <w:rsid w:val="00DF71A4"/>
    <w:rsid w:val="00E61610"/>
    <w:rsid w:val="00E918DC"/>
    <w:rsid w:val="00EB344D"/>
    <w:rsid w:val="00EB641C"/>
    <w:rsid w:val="00F04199"/>
    <w:rsid w:val="00F730A0"/>
    <w:rsid w:val="00F91CB0"/>
    <w:rsid w:val="00FA2879"/>
    <w:rsid w:val="00FC13E0"/>
    <w:rsid w:val="00FD77E1"/>
    <w:rsid w:val="00FD7879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1907A"/>
  <w15:docId w15:val="{E48DB54A-79A5-45D9-9462-778E5E5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9"/>
    <w:rPr>
      <w:rFonts w:ascii="Tahoma" w:hAnsi="Tahoma" w:cs="Tahoma"/>
      <w:sz w:val="16"/>
      <w:szCs w:val="16"/>
    </w:rPr>
  </w:style>
  <w:style w:type="paragraph" w:customStyle="1" w:styleId="boxes">
    <w:name w:val="boxes"/>
    <w:basedOn w:val="Normal"/>
    <w:rsid w:val="00C9381E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MS Mincho" w:hAnsi="Times New Roman" w:cs="Times New Roman"/>
      <w:kern w:val="28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3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D766B8-A310-4DC9-94FE-D0176476C2B8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08EDDB2-A4B6-497E-BEFC-C23B9EA5430D}">
      <dgm:prSet phldrT="[Text]" custT="1"/>
      <dgm:spPr/>
      <dgm:t>
        <a:bodyPr/>
        <a:lstStyle/>
        <a:p>
          <a:pPr algn="ctr" rtl="1"/>
          <a:r>
            <a:rPr lang="ar-IQ" sz="1400">
              <a:latin typeface="Traditional Arabic" pitchFamily="18" charset="-78"/>
              <a:cs typeface="Traditional Arabic" pitchFamily="18" charset="-78"/>
            </a:rPr>
            <a:t>اللغة الهدف </a:t>
          </a:r>
          <a:r>
            <a:rPr lang="ar-IQ" sz="1400" baseline="-25000">
              <a:latin typeface="Traditional Arabic" pitchFamily="18" charset="-78"/>
              <a:cs typeface="Traditional Arabic" pitchFamily="18" charset="-78"/>
            </a:rPr>
            <a:t>(+التطابق الدلالي اللفظي)</a:t>
          </a:r>
          <a:r>
            <a:rPr lang="ar-IQ" sz="1400">
              <a:latin typeface="Traditional Arabic" pitchFamily="18" charset="-78"/>
              <a:cs typeface="Traditional Arabic" pitchFamily="18" charset="-78"/>
            </a:rPr>
            <a:t> صَ اَ</a:t>
          </a:r>
          <a:endParaRPr lang="en-GB" sz="1400">
            <a:latin typeface="Traditional Arabic" pitchFamily="18" charset="-78"/>
            <a:cs typeface="Traditional Arabic" pitchFamily="18" charset="-78"/>
          </a:endParaRPr>
        </a:p>
      </dgm:t>
    </dgm:pt>
    <dgm:pt modelId="{75A6B0CD-6087-479E-B2B5-0377150D237C}" type="parTrans" cxnId="{E0FCC9A1-F44F-4069-8341-FE02013A5EC9}">
      <dgm:prSet/>
      <dgm:spPr/>
      <dgm:t>
        <a:bodyPr/>
        <a:lstStyle/>
        <a:p>
          <a:pPr algn="ctr"/>
          <a:endParaRPr lang="en-GB"/>
        </a:p>
      </dgm:t>
    </dgm:pt>
    <dgm:pt modelId="{913C5D7F-7486-4575-BB55-6848A10C2EB5}" type="sibTrans" cxnId="{E0FCC9A1-F44F-4069-8341-FE02013A5EC9}">
      <dgm:prSet/>
      <dgm:spPr/>
      <dgm:t>
        <a:bodyPr/>
        <a:lstStyle/>
        <a:p>
          <a:pPr algn="ctr"/>
          <a:endParaRPr lang="en-GB"/>
        </a:p>
      </dgm:t>
    </dgm:pt>
    <dgm:pt modelId="{C8DFA836-0424-4B27-850D-E98369155673}">
      <dgm:prSet phldrT="[Text]" custT="1"/>
      <dgm:spPr/>
      <dgm:t>
        <a:bodyPr/>
        <a:lstStyle/>
        <a:p>
          <a:pPr algn="ctr" rtl="1"/>
          <a:r>
            <a:rPr lang="ar-IQ" sz="1400">
              <a:latin typeface="Traditional Arabic" pitchFamily="18" charset="-78"/>
              <a:cs typeface="Traditional Arabic" pitchFamily="18" charset="-78"/>
            </a:rPr>
            <a:t>اللغة الهدف ص ب</a:t>
          </a:r>
          <a:endParaRPr lang="en-GB" sz="1400">
            <a:latin typeface="Traditional Arabic" pitchFamily="18" charset="-78"/>
            <a:cs typeface="Traditional Arabic" pitchFamily="18" charset="-78"/>
          </a:endParaRPr>
        </a:p>
      </dgm:t>
    </dgm:pt>
    <dgm:pt modelId="{957463EF-9F7F-4F61-9615-F5F70C6DBCF6}" type="parTrans" cxnId="{DFA99DBD-0915-4B42-986A-4BBCB2183D72}">
      <dgm:prSet/>
      <dgm:spPr/>
      <dgm:t>
        <a:bodyPr/>
        <a:lstStyle/>
        <a:p>
          <a:pPr algn="ctr"/>
          <a:endParaRPr lang="en-GB"/>
        </a:p>
      </dgm:t>
    </dgm:pt>
    <dgm:pt modelId="{DC57CD36-23EC-43CE-BCD8-1F08E884750E}" type="sibTrans" cxnId="{DFA99DBD-0915-4B42-986A-4BBCB2183D72}">
      <dgm:prSet/>
      <dgm:spPr/>
      <dgm:t>
        <a:bodyPr/>
        <a:lstStyle/>
        <a:p>
          <a:pPr algn="ctr"/>
          <a:endParaRPr lang="en-GB"/>
        </a:p>
      </dgm:t>
    </dgm:pt>
    <dgm:pt modelId="{00389E9E-3615-409E-8D84-E16C03F0F3F6}">
      <dgm:prSet phldrT="[Text]" custT="1"/>
      <dgm:spPr/>
      <dgm:t>
        <a:bodyPr/>
        <a:lstStyle/>
        <a:p>
          <a:pPr rtl="1"/>
          <a:r>
            <a:rPr lang="ar-IQ" sz="1400">
              <a:latin typeface="Traditional Arabic" pitchFamily="18" charset="-78"/>
              <a:cs typeface="Traditional Arabic" pitchFamily="18" charset="-78"/>
            </a:rPr>
            <a:t>اللغة الأصل س ا</a:t>
          </a:r>
          <a:endParaRPr lang="en-GB" sz="1400">
            <a:latin typeface="Traditional Arabic" pitchFamily="18" charset="-78"/>
            <a:cs typeface="Traditional Arabic" pitchFamily="18" charset="-78"/>
          </a:endParaRPr>
        </a:p>
      </dgm:t>
    </dgm:pt>
    <dgm:pt modelId="{C2DCCAA0-DCF4-4C62-8DF5-9A29B049A2AA}" type="parTrans" cxnId="{EED94358-069C-4013-B11F-F920DF4C23A4}">
      <dgm:prSet/>
      <dgm:spPr/>
      <dgm:t>
        <a:bodyPr/>
        <a:lstStyle/>
        <a:p>
          <a:endParaRPr lang="en-GB"/>
        </a:p>
      </dgm:t>
    </dgm:pt>
    <dgm:pt modelId="{63623877-58A6-4113-BDF8-F0899F5B8053}" type="sibTrans" cxnId="{EED94358-069C-4013-B11F-F920DF4C23A4}">
      <dgm:prSet/>
      <dgm:spPr/>
      <dgm:t>
        <a:bodyPr/>
        <a:lstStyle/>
        <a:p>
          <a:endParaRPr lang="en-GB"/>
        </a:p>
      </dgm:t>
    </dgm:pt>
    <dgm:pt modelId="{44E34453-0FE6-4001-844D-913ED2E01862}" type="pres">
      <dgm:prSet presAssocID="{C2D766B8-A310-4DC9-94FE-D0176476C2B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98C9EDD7-6C2D-4C6D-B454-616621983DDF}" type="pres">
      <dgm:prSet presAssocID="{108EDDB2-A4B6-497E-BEFC-C23B9EA5430D}" presName="centerShape" presStyleLbl="node0" presStyleIdx="0" presStyleCnt="1" custScaleX="223944" custScaleY="45876"/>
      <dgm:spPr/>
      <dgm:t>
        <a:bodyPr/>
        <a:lstStyle/>
        <a:p>
          <a:endParaRPr lang="en-GB"/>
        </a:p>
      </dgm:t>
    </dgm:pt>
    <dgm:pt modelId="{C1C587AE-94C2-4605-8D72-34148914E8C4}" type="pres">
      <dgm:prSet presAssocID="{957463EF-9F7F-4F61-9615-F5F70C6DBCF6}" presName="parTrans" presStyleLbl="bgSibTrans2D1" presStyleIdx="0" presStyleCnt="2"/>
      <dgm:spPr/>
      <dgm:t>
        <a:bodyPr/>
        <a:lstStyle/>
        <a:p>
          <a:endParaRPr lang="en-GB"/>
        </a:p>
      </dgm:t>
    </dgm:pt>
    <dgm:pt modelId="{0FD496D5-E233-4EE6-B04D-76CEA15BF348}" type="pres">
      <dgm:prSet presAssocID="{C8DFA836-0424-4B27-850D-E98369155673}" presName="node" presStyleLbl="node1" presStyleIdx="0" presStyleCnt="2" custScaleX="169046" custScaleY="29079" custRadScaleRad="104522" custRadScaleInc="730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D42C01D-7057-4A7D-A491-D1FE929AEF6F}" type="pres">
      <dgm:prSet presAssocID="{C2DCCAA0-DCF4-4C62-8DF5-9A29B049A2AA}" presName="parTrans" presStyleLbl="bgSibTrans2D1" presStyleIdx="1" presStyleCnt="2"/>
      <dgm:spPr/>
      <dgm:t>
        <a:bodyPr/>
        <a:lstStyle/>
        <a:p>
          <a:endParaRPr lang="en-GB"/>
        </a:p>
      </dgm:t>
    </dgm:pt>
    <dgm:pt modelId="{EDC0637F-9D9F-4380-B0CE-5AB32F97B93E}" type="pres">
      <dgm:prSet presAssocID="{00389E9E-3615-409E-8D84-E16C03F0F3F6}" presName="node" presStyleLbl="node1" presStyleIdx="1" presStyleCnt="2" custScaleX="169046" custScaleY="29079" custRadScaleRad="108983" custRadScaleInc="-471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3FCD1BBE-7F70-4135-BE65-4203F27BE488}" type="presOf" srcId="{C2D766B8-A310-4DC9-94FE-D0176476C2B8}" destId="{44E34453-0FE6-4001-844D-913ED2E01862}" srcOrd="0" destOrd="0" presId="urn:microsoft.com/office/officeart/2005/8/layout/radial4"/>
    <dgm:cxn modelId="{BD72A385-E796-4A96-B326-7DEA9ABC0022}" type="presOf" srcId="{C2DCCAA0-DCF4-4C62-8DF5-9A29B049A2AA}" destId="{AD42C01D-7057-4A7D-A491-D1FE929AEF6F}" srcOrd="0" destOrd="0" presId="urn:microsoft.com/office/officeart/2005/8/layout/radial4"/>
    <dgm:cxn modelId="{3877DB16-020E-4FE0-8FD0-A40C955F6B68}" type="presOf" srcId="{00389E9E-3615-409E-8D84-E16C03F0F3F6}" destId="{EDC0637F-9D9F-4380-B0CE-5AB32F97B93E}" srcOrd="0" destOrd="0" presId="urn:microsoft.com/office/officeart/2005/8/layout/radial4"/>
    <dgm:cxn modelId="{20A17B51-69DA-43A0-92DB-DE7D45AE2BF2}" type="presOf" srcId="{957463EF-9F7F-4F61-9615-F5F70C6DBCF6}" destId="{C1C587AE-94C2-4605-8D72-34148914E8C4}" srcOrd="0" destOrd="0" presId="urn:microsoft.com/office/officeart/2005/8/layout/radial4"/>
    <dgm:cxn modelId="{0911586F-1568-457C-ABB9-6B6A22B5CEBF}" type="presOf" srcId="{108EDDB2-A4B6-497E-BEFC-C23B9EA5430D}" destId="{98C9EDD7-6C2D-4C6D-B454-616621983DDF}" srcOrd="0" destOrd="0" presId="urn:microsoft.com/office/officeart/2005/8/layout/radial4"/>
    <dgm:cxn modelId="{C4B3477F-1540-4B10-8620-A35FEB5CBA42}" type="presOf" srcId="{C8DFA836-0424-4B27-850D-E98369155673}" destId="{0FD496D5-E233-4EE6-B04D-76CEA15BF348}" srcOrd="0" destOrd="0" presId="urn:microsoft.com/office/officeart/2005/8/layout/radial4"/>
    <dgm:cxn modelId="{E0FCC9A1-F44F-4069-8341-FE02013A5EC9}" srcId="{C2D766B8-A310-4DC9-94FE-D0176476C2B8}" destId="{108EDDB2-A4B6-497E-BEFC-C23B9EA5430D}" srcOrd="0" destOrd="0" parTransId="{75A6B0CD-6087-479E-B2B5-0377150D237C}" sibTransId="{913C5D7F-7486-4575-BB55-6848A10C2EB5}"/>
    <dgm:cxn modelId="{EED94358-069C-4013-B11F-F920DF4C23A4}" srcId="{108EDDB2-A4B6-497E-BEFC-C23B9EA5430D}" destId="{00389E9E-3615-409E-8D84-E16C03F0F3F6}" srcOrd="1" destOrd="0" parTransId="{C2DCCAA0-DCF4-4C62-8DF5-9A29B049A2AA}" sibTransId="{63623877-58A6-4113-BDF8-F0899F5B8053}"/>
    <dgm:cxn modelId="{DFA99DBD-0915-4B42-986A-4BBCB2183D72}" srcId="{108EDDB2-A4B6-497E-BEFC-C23B9EA5430D}" destId="{C8DFA836-0424-4B27-850D-E98369155673}" srcOrd="0" destOrd="0" parTransId="{957463EF-9F7F-4F61-9615-F5F70C6DBCF6}" sibTransId="{DC57CD36-23EC-43CE-BCD8-1F08E884750E}"/>
    <dgm:cxn modelId="{B53FFAC1-CE15-4BE2-A4EB-83B7F3BB5B92}" type="presParOf" srcId="{44E34453-0FE6-4001-844D-913ED2E01862}" destId="{98C9EDD7-6C2D-4C6D-B454-616621983DDF}" srcOrd="0" destOrd="0" presId="urn:microsoft.com/office/officeart/2005/8/layout/radial4"/>
    <dgm:cxn modelId="{5062C6FC-3ACA-4D07-9D83-84FA6D47FC95}" type="presParOf" srcId="{44E34453-0FE6-4001-844D-913ED2E01862}" destId="{C1C587AE-94C2-4605-8D72-34148914E8C4}" srcOrd="1" destOrd="0" presId="urn:microsoft.com/office/officeart/2005/8/layout/radial4"/>
    <dgm:cxn modelId="{60A53112-122D-4FDF-AD6E-A088096A05D1}" type="presParOf" srcId="{44E34453-0FE6-4001-844D-913ED2E01862}" destId="{0FD496D5-E233-4EE6-B04D-76CEA15BF348}" srcOrd="2" destOrd="0" presId="urn:microsoft.com/office/officeart/2005/8/layout/radial4"/>
    <dgm:cxn modelId="{3F666193-F036-4832-821D-37CCFC4024C4}" type="presParOf" srcId="{44E34453-0FE6-4001-844D-913ED2E01862}" destId="{AD42C01D-7057-4A7D-A491-D1FE929AEF6F}" srcOrd="3" destOrd="0" presId="urn:microsoft.com/office/officeart/2005/8/layout/radial4"/>
    <dgm:cxn modelId="{384BBDE4-5F71-43CF-B7BA-D119FB552476}" type="presParOf" srcId="{44E34453-0FE6-4001-844D-913ED2E01862}" destId="{EDC0637F-9D9F-4380-B0CE-5AB32F97B93E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DDA110-2E08-4EBA-BBFB-10BDB52EF79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0E109D5-2AEC-4770-A733-E95D5A4EA25A}">
      <dgm:prSet phldrT="[Text]"/>
      <dgm:spPr/>
      <dgm:t>
        <a:bodyPr/>
        <a:lstStyle/>
        <a:p>
          <a:pPr rtl="1"/>
          <a:r>
            <a:rPr lang="ar-IQ"/>
            <a:t>اليونانية القديمة </a:t>
          </a:r>
          <a:br>
            <a:rPr lang="ar-IQ"/>
          </a:br>
          <a:r>
            <a:rPr lang="en-US">
              <a:sym typeface="Symbol"/>
            </a:rPr>
            <a:t></a:t>
          </a:r>
          <a:r>
            <a:rPr lang="el-GR"/>
            <a:t>έ</a:t>
          </a:r>
          <a:r>
            <a:rPr lang="en-US">
              <a:sym typeface="Symbol"/>
            </a:rPr>
            <a:t></a:t>
          </a:r>
          <a:r>
            <a:rPr lang="el-GR"/>
            <a:t>  </a:t>
          </a:r>
          <a:r>
            <a:rPr lang="ar-IQ"/>
            <a:t/>
          </a:r>
          <a:br>
            <a:rPr lang="ar-IQ"/>
          </a:br>
          <a:r>
            <a:rPr lang="en-US" i="1"/>
            <a:t>skopéō</a:t>
          </a:r>
          <a:r>
            <a:rPr lang="ar-IQ" i="1"/>
            <a:t/>
          </a:r>
          <a:br>
            <a:rPr lang="ar-IQ" i="1"/>
          </a:br>
          <a:r>
            <a:rPr lang="ar-IQ" i="0"/>
            <a:t>’أ</a:t>
          </a:r>
          <a:r>
            <a:rPr lang="ar-IQ"/>
            <a:t>نا أنظر إلى‘</a:t>
          </a:r>
        </a:p>
        <a:p>
          <a:pPr rtl="1"/>
          <a:r>
            <a:rPr lang="ar-IQ"/>
            <a:t>راجع الكلمة اليديشية</a:t>
          </a:r>
          <a:br>
            <a:rPr lang="ar-IQ"/>
          </a:br>
          <a:r>
            <a:rPr lang="he-IL"/>
            <a:t>שפאַקולן </a:t>
          </a:r>
          <a:r>
            <a:rPr lang="en-GB" b="1" i="1"/>
            <a:t>shpak</a:t>
          </a:r>
          <a:r>
            <a:rPr lang="en-GB" i="1"/>
            <a:t>úlņ</a:t>
          </a:r>
          <a:r>
            <a:rPr lang="en-GB"/>
            <a:t> </a:t>
          </a:r>
          <a:r>
            <a:rPr lang="ar-IQ"/>
            <a:t/>
          </a:r>
          <a:br>
            <a:rPr lang="ar-IQ"/>
          </a:br>
          <a:r>
            <a:rPr lang="ar-IQ"/>
            <a:t>’نظارات‘</a:t>
          </a:r>
        </a:p>
        <a:p>
          <a:pPr rtl="1"/>
          <a:r>
            <a:rPr lang="ar-IQ"/>
            <a:t>(باليديشية اللتوانية </a:t>
          </a:r>
          <a:r>
            <a:rPr lang="he-IL"/>
            <a:t>ספאַקולן </a:t>
          </a:r>
          <a:r>
            <a:rPr lang="en-GB" i="1"/>
            <a:t>spakúlņ</a:t>
          </a:r>
          <a:r>
            <a:rPr lang="ar-IQ" i="1"/>
            <a:t>)</a:t>
          </a:r>
          <a:r>
            <a:rPr lang="ar-IQ"/>
            <a:t> </a:t>
          </a:r>
          <a:endParaRPr lang="en-GB"/>
        </a:p>
      </dgm:t>
    </dgm:pt>
    <dgm:pt modelId="{B8F3307D-F746-4246-BB17-76F9735E4931}" type="parTrans" cxnId="{78D629A1-4FA0-4CE8-AC27-C6394B67B688}">
      <dgm:prSet/>
      <dgm:spPr/>
      <dgm:t>
        <a:bodyPr/>
        <a:lstStyle/>
        <a:p>
          <a:endParaRPr lang="en-GB"/>
        </a:p>
      </dgm:t>
    </dgm:pt>
    <dgm:pt modelId="{B1AE7F8B-3A2D-4296-851B-3390B6D5722B}" type="sibTrans" cxnId="{78D629A1-4FA0-4CE8-AC27-C6394B67B688}">
      <dgm:prSet/>
      <dgm:spPr/>
      <dgm:t>
        <a:bodyPr/>
        <a:lstStyle/>
        <a:p>
          <a:endParaRPr lang="en-GB"/>
        </a:p>
      </dgm:t>
    </dgm:pt>
    <dgm:pt modelId="{F6B1A265-9781-42F7-9EBA-3B4DA7C1B9E9}">
      <dgm:prSet phldrT="[Text]" custT="1"/>
      <dgm:spPr/>
      <dgm:t>
        <a:bodyPr/>
        <a:lstStyle/>
        <a:p>
          <a:pPr rtl="1"/>
          <a:r>
            <a:rPr lang="ar-IQ" sz="1300"/>
            <a:t>الاسرائيلية </a:t>
          </a:r>
          <a:br>
            <a:rPr lang="ar-IQ" sz="1300"/>
          </a:br>
          <a:r>
            <a:rPr lang="he-IL" sz="1300"/>
            <a:t>משקפים</a:t>
          </a:r>
          <a:r>
            <a:rPr lang="ar-IQ" sz="1300"/>
            <a:t/>
          </a:r>
          <a:br>
            <a:rPr lang="ar-IQ" sz="1300"/>
          </a:br>
          <a:r>
            <a:rPr lang="en-US" sz="1300" i="1"/>
            <a:t>mishkafáim </a:t>
          </a:r>
          <a:r>
            <a:rPr lang="ar-IQ" sz="1300" i="1"/>
            <a:t/>
          </a:r>
          <a:br>
            <a:rPr lang="ar-IQ" sz="1300" i="1"/>
          </a:br>
          <a:r>
            <a:rPr lang="ar-IQ" sz="1300" i="0"/>
            <a:t>’نظارات‘</a:t>
          </a:r>
          <a:br>
            <a:rPr lang="ar-IQ" sz="1300" i="0"/>
          </a:br>
          <a:endParaRPr lang="ar-IQ" sz="1300" i="0"/>
        </a:p>
        <a:p>
          <a:r>
            <a:rPr lang="ar-IQ" sz="1100"/>
            <a:t>(المفردة من صياغة خايم ليب هازان من مدينة غرودنو في 1890)</a:t>
          </a:r>
          <a:endParaRPr lang="en-GB" sz="1100"/>
        </a:p>
      </dgm:t>
    </dgm:pt>
    <dgm:pt modelId="{02B132B6-4C40-4B71-B746-7B51E261D478}" type="parTrans" cxnId="{E322ED46-941F-48CC-90B1-11463BACCA0A}">
      <dgm:prSet/>
      <dgm:spPr/>
      <dgm:t>
        <a:bodyPr/>
        <a:lstStyle/>
        <a:p>
          <a:endParaRPr lang="en-GB"/>
        </a:p>
      </dgm:t>
    </dgm:pt>
    <dgm:pt modelId="{267A0E2E-97CE-4DF5-91EA-C6AA1DE46D83}" type="sibTrans" cxnId="{E322ED46-941F-48CC-90B1-11463BACCA0A}">
      <dgm:prSet/>
      <dgm:spPr/>
      <dgm:t>
        <a:bodyPr/>
        <a:lstStyle/>
        <a:p>
          <a:endParaRPr lang="en-GB"/>
        </a:p>
      </dgm:t>
    </dgm:pt>
    <dgm:pt modelId="{317FDC40-3AFA-4470-B71B-6858141A1AD5}">
      <dgm:prSet phldrT="[Text]"/>
      <dgm:spPr/>
      <dgm:t>
        <a:bodyPr/>
        <a:lstStyle/>
        <a:p>
          <a:r>
            <a:rPr lang="ar-IQ"/>
            <a:t>العبرية التوراتية</a:t>
          </a:r>
          <a:br>
            <a:rPr lang="ar-IQ"/>
          </a:br>
          <a:r>
            <a:rPr lang="he-IL"/>
            <a:t>שקפ </a:t>
          </a:r>
          <a:r>
            <a:rPr lang="ar-IQ"/>
            <a:t/>
          </a:r>
          <a:br>
            <a:rPr lang="ar-IQ"/>
          </a:br>
          <a:r>
            <a:rPr lang="he-IL"/>
            <a:t>√</a:t>
          </a:r>
          <a:r>
            <a:rPr lang="en-US" i="1"/>
            <a:t>šqp</a:t>
          </a:r>
          <a:r>
            <a:rPr lang="ar-IQ" i="1"/>
            <a:t/>
          </a:r>
          <a:br>
            <a:rPr lang="ar-IQ" i="1"/>
          </a:br>
          <a:r>
            <a:rPr lang="ar-IQ" i="0"/>
            <a:t>’النظر إلى أو من خلال‘</a:t>
          </a:r>
        </a:p>
        <a:p>
          <a:endParaRPr lang="en-GB"/>
        </a:p>
      </dgm:t>
    </dgm:pt>
    <dgm:pt modelId="{4CE659EC-E20F-4A62-A1E8-693095CFBF9C}" type="parTrans" cxnId="{F14F3CA5-99D5-474B-90EE-8BD6B48B3EEC}">
      <dgm:prSet/>
      <dgm:spPr/>
      <dgm:t>
        <a:bodyPr/>
        <a:lstStyle/>
        <a:p>
          <a:endParaRPr lang="en-GB"/>
        </a:p>
      </dgm:t>
    </dgm:pt>
    <dgm:pt modelId="{A2AB6153-A588-4EDC-80D7-45AE38633655}" type="sibTrans" cxnId="{F14F3CA5-99D5-474B-90EE-8BD6B48B3EEC}">
      <dgm:prSet/>
      <dgm:spPr/>
      <dgm:t>
        <a:bodyPr/>
        <a:lstStyle/>
        <a:p>
          <a:endParaRPr lang="en-GB"/>
        </a:p>
      </dgm:t>
    </dgm:pt>
    <dgm:pt modelId="{1E5ADC21-F2F2-4070-AD36-DF972FF10598}" type="pres">
      <dgm:prSet presAssocID="{D1DDA110-2E08-4EBA-BBFB-10BDB52EF790}" presName="Name0" presStyleCnt="0">
        <dgm:presLayoutVars>
          <dgm:dir/>
          <dgm:resizeHandles val="exact"/>
        </dgm:presLayoutVars>
      </dgm:prSet>
      <dgm:spPr/>
    </dgm:pt>
    <dgm:pt modelId="{F812C8BC-3205-4B9B-A704-887755D79BD1}" type="pres">
      <dgm:prSet presAssocID="{B0E109D5-2AEC-4770-A733-E95D5A4EA25A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F8344B8-48C7-4E5D-8BFE-C44EE1BDBF12}" type="pres">
      <dgm:prSet presAssocID="{B1AE7F8B-3A2D-4296-851B-3390B6D5722B}" presName="sibTrans" presStyleLbl="sibTrans2D1" presStyleIdx="0" presStyleCnt="2"/>
      <dgm:spPr/>
      <dgm:t>
        <a:bodyPr/>
        <a:lstStyle/>
        <a:p>
          <a:endParaRPr lang="en-GB"/>
        </a:p>
      </dgm:t>
    </dgm:pt>
    <dgm:pt modelId="{5D1C89BE-057F-4E74-A067-AE4C1CCC67CB}" type="pres">
      <dgm:prSet presAssocID="{B1AE7F8B-3A2D-4296-851B-3390B6D5722B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ECABC1B1-3C0A-42A4-9C4F-3CD07E3D3E2F}" type="pres">
      <dgm:prSet presAssocID="{F6B1A265-9781-42F7-9EBA-3B4DA7C1B9E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1BE17BF-4684-4AB5-8B01-C70ECDDB68B5}" type="pres">
      <dgm:prSet presAssocID="{267A0E2E-97CE-4DF5-91EA-C6AA1DE46D83}" presName="sibTrans" presStyleLbl="sibTrans2D1" presStyleIdx="1" presStyleCnt="2" custFlipHor="1" custScaleX="98675"/>
      <dgm:spPr/>
      <dgm:t>
        <a:bodyPr/>
        <a:lstStyle/>
        <a:p>
          <a:endParaRPr lang="en-GB"/>
        </a:p>
      </dgm:t>
    </dgm:pt>
    <dgm:pt modelId="{A99DF697-F47C-44EC-9854-4397EC824E71}" type="pres">
      <dgm:prSet presAssocID="{267A0E2E-97CE-4DF5-91EA-C6AA1DE46D83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9D6FB0A1-4E28-44CD-87CB-332B41DB5D57}" type="pres">
      <dgm:prSet presAssocID="{317FDC40-3AFA-4470-B71B-6858141A1AD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CC1BF54-B477-4007-AEC2-21CB37C95952}" type="presOf" srcId="{F6B1A265-9781-42F7-9EBA-3B4DA7C1B9E9}" destId="{ECABC1B1-3C0A-42A4-9C4F-3CD07E3D3E2F}" srcOrd="0" destOrd="0" presId="urn:microsoft.com/office/officeart/2005/8/layout/process1"/>
    <dgm:cxn modelId="{05CF8931-4660-41BF-851F-BA2E8DAA0C18}" type="presOf" srcId="{B1AE7F8B-3A2D-4296-851B-3390B6D5722B}" destId="{5D1C89BE-057F-4E74-A067-AE4C1CCC67CB}" srcOrd="1" destOrd="0" presId="urn:microsoft.com/office/officeart/2005/8/layout/process1"/>
    <dgm:cxn modelId="{78D629A1-4FA0-4CE8-AC27-C6394B67B688}" srcId="{D1DDA110-2E08-4EBA-BBFB-10BDB52EF790}" destId="{B0E109D5-2AEC-4770-A733-E95D5A4EA25A}" srcOrd="0" destOrd="0" parTransId="{B8F3307D-F746-4246-BB17-76F9735E4931}" sibTransId="{B1AE7F8B-3A2D-4296-851B-3390B6D5722B}"/>
    <dgm:cxn modelId="{2F0F2294-D298-4417-A422-73D842A6C2D0}" type="presOf" srcId="{317FDC40-3AFA-4470-B71B-6858141A1AD5}" destId="{9D6FB0A1-4E28-44CD-87CB-332B41DB5D57}" srcOrd="0" destOrd="0" presId="urn:microsoft.com/office/officeart/2005/8/layout/process1"/>
    <dgm:cxn modelId="{DEEE00F4-C5D1-497C-AD07-9553E12E318E}" type="presOf" srcId="{D1DDA110-2E08-4EBA-BBFB-10BDB52EF790}" destId="{1E5ADC21-F2F2-4070-AD36-DF972FF10598}" srcOrd="0" destOrd="0" presId="urn:microsoft.com/office/officeart/2005/8/layout/process1"/>
    <dgm:cxn modelId="{E322ED46-941F-48CC-90B1-11463BACCA0A}" srcId="{D1DDA110-2E08-4EBA-BBFB-10BDB52EF790}" destId="{F6B1A265-9781-42F7-9EBA-3B4DA7C1B9E9}" srcOrd="1" destOrd="0" parTransId="{02B132B6-4C40-4B71-B746-7B51E261D478}" sibTransId="{267A0E2E-97CE-4DF5-91EA-C6AA1DE46D83}"/>
    <dgm:cxn modelId="{2A361A43-2FB6-43AA-B8BB-12C2EE83F765}" type="presOf" srcId="{B1AE7F8B-3A2D-4296-851B-3390B6D5722B}" destId="{DF8344B8-48C7-4E5D-8BFE-C44EE1BDBF12}" srcOrd="0" destOrd="0" presId="urn:microsoft.com/office/officeart/2005/8/layout/process1"/>
    <dgm:cxn modelId="{F14F3CA5-99D5-474B-90EE-8BD6B48B3EEC}" srcId="{D1DDA110-2E08-4EBA-BBFB-10BDB52EF790}" destId="{317FDC40-3AFA-4470-B71B-6858141A1AD5}" srcOrd="2" destOrd="0" parTransId="{4CE659EC-E20F-4A62-A1E8-693095CFBF9C}" sibTransId="{A2AB6153-A588-4EDC-80D7-45AE38633655}"/>
    <dgm:cxn modelId="{6A74E1D6-A351-4581-9498-15BFCC43DBE6}" type="presOf" srcId="{267A0E2E-97CE-4DF5-91EA-C6AA1DE46D83}" destId="{01BE17BF-4684-4AB5-8B01-C70ECDDB68B5}" srcOrd="0" destOrd="0" presId="urn:microsoft.com/office/officeart/2005/8/layout/process1"/>
    <dgm:cxn modelId="{EFC686AD-1212-4F61-A8D1-4707386C0B74}" type="presOf" srcId="{B0E109D5-2AEC-4770-A733-E95D5A4EA25A}" destId="{F812C8BC-3205-4B9B-A704-887755D79BD1}" srcOrd="0" destOrd="0" presId="urn:microsoft.com/office/officeart/2005/8/layout/process1"/>
    <dgm:cxn modelId="{4138DB00-064B-4463-89DC-B73E4FEF916B}" type="presOf" srcId="{267A0E2E-97CE-4DF5-91EA-C6AA1DE46D83}" destId="{A99DF697-F47C-44EC-9854-4397EC824E71}" srcOrd="1" destOrd="0" presId="urn:microsoft.com/office/officeart/2005/8/layout/process1"/>
    <dgm:cxn modelId="{A2E7779E-F123-4B3D-9093-4F7BA92F69FD}" type="presParOf" srcId="{1E5ADC21-F2F2-4070-AD36-DF972FF10598}" destId="{F812C8BC-3205-4B9B-A704-887755D79BD1}" srcOrd="0" destOrd="0" presId="urn:microsoft.com/office/officeart/2005/8/layout/process1"/>
    <dgm:cxn modelId="{F5179853-4AE5-4F76-80BB-8E4457B905C7}" type="presParOf" srcId="{1E5ADC21-F2F2-4070-AD36-DF972FF10598}" destId="{DF8344B8-48C7-4E5D-8BFE-C44EE1BDBF12}" srcOrd="1" destOrd="0" presId="urn:microsoft.com/office/officeart/2005/8/layout/process1"/>
    <dgm:cxn modelId="{32CCEB83-4628-46C2-A26F-69BE5520E2D5}" type="presParOf" srcId="{DF8344B8-48C7-4E5D-8BFE-C44EE1BDBF12}" destId="{5D1C89BE-057F-4E74-A067-AE4C1CCC67CB}" srcOrd="0" destOrd="0" presId="urn:microsoft.com/office/officeart/2005/8/layout/process1"/>
    <dgm:cxn modelId="{61006C7B-28E7-4704-A1C5-CAE0DB54C241}" type="presParOf" srcId="{1E5ADC21-F2F2-4070-AD36-DF972FF10598}" destId="{ECABC1B1-3C0A-42A4-9C4F-3CD07E3D3E2F}" srcOrd="2" destOrd="0" presId="urn:microsoft.com/office/officeart/2005/8/layout/process1"/>
    <dgm:cxn modelId="{7C7F114D-C6FD-4C3A-B071-8D7957E8EA6B}" type="presParOf" srcId="{1E5ADC21-F2F2-4070-AD36-DF972FF10598}" destId="{01BE17BF-4684-4AB5-8B01-C70ECDDB68B5}" srcOrd="3" destOrd="0" presId="urn:microsoft.com/office/officeart/2005/8/layout/process1"/>
    <dgm:cxn modelId="{D29D5E52-A5B8-495B-BDE4-7FE8677BE17B}" type="presParOf" srcId="{01BE17BF-4684-4AB5-8B01-C70ECDDB68B5}" destId="{A99DF697-F47C-44EC-9854-4397EC824E71}" srcOrd="0" destOrd="0" presId="urn:microsoft.com/office/officeart/2005/8/layout/process1"/>
    <dgm:cxn modelId="{058BCD91-38C2-4161-AC50-9266C20B983C}" type="presParOf" srcId="{1E5ADC21-F2F2-4070-AD36-DF972FF10598}" destId="{9D6FB0A1-4E28-44CD-87CB-332B41DB5D5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1DDA110-2E08-4EBA-BBFB-10BDB52EF79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0E109D5-2AEC-4770-A733-E95D5A4EA25A}">
      <dgm:prSet phldrT="[Text]"/>
      <dgm:spPr/>
      <dgm:t>
        <a:bodyPr/>
        <a:lstStyle/>
        <a:p>
          <a:pPr rtl="1"/>
          <a:r>
            <a:rPr lang="ar-IQ">
              <a:latin typeface="Traditional Arabic" pitchFamily="18" charset="-78"/>
              <a:cs typeface="Traditional Arabic" pitchFamily="18" charset="-78"/>
            </a:rPr>
            <a:t>الانجليزية</a:t>
          </a:r>
          <a:br>
            <a:rPr lang="ar-IQ">
              <a:latin typeface="Traditional Arabic" pitchFamily="18" charset="-78"/>
              <a:cs typeface="Traditional Arabic" pitchFamily="18" charset="-78"/>
            </a:rPr>
          </a:br>
          <a:r>
            <a:rPr lang="en-GB">
              <a:latin typeface="Traditional Arabic" pitchFamily="18" charset="-78"/>
              <a:cs typeface="Traditional Arabic" pitchFamily="18" charset="-78"/>
            </a:rPr>
            <a:t>dubbing</a:t>
          </a:r>
          <a:r>
            <a:rPr lang="ar-IQ">
              <a:latin typeface="Traditional Arabic" pitchFamily="18" charset="-78"/>
              <a:cs typeface="Traditional Arabic" pitchFamily="18" charset="-78"/>
            </a:rPr>
            <a:t/>
          </a:r>
          <a:br>
            <a:rPr lang="ar-IQ">
              <a:latin typeface="Traditional Arabic" pitchFamily="18" charset="-78"/>
              <a:cs typeface="Traditional Arabic" pitchFamily="18" charset="-78"/>
            </a:rPr>
          </a:br>
          <a:r>
            <a:rPr lang="ar-IQ" i="0">
              <a:latin typeface="Traditional Arabic" pitchFamily="18" charset="-78"/>
              <a:cs typeface="Traditional Arabic" pitchFamily="18" charset="-78"/>
            </a:rPr>
            <a:t>’دبلجة‘</a:t>
          </a:r>
          <a:endParaRPr lang="en-GB">
            <a:latin typeface="Traditional Arabic" pitchFamily="18" charset="-78"/>
            <a:cs typeface="Traditional Arabic" pitchFamily="18" charset="-78"/>
          </a:endParaRPr>
        </a:p>
      </dgm:t>
    </dgm:pt>
    <dgm:pt modelId="{B8F3307D-F746-4246-BB17-76F9735E4931}" type="parTrans" cxnId="{78D629A1-4FA0-4CE8-AC27-C6394B67B688}">
      <dgm:prSet/>
      <dgm:spPr/>
      <dgm:t>
        <a:bodyPr/>
        <a:lstStyle/>
        <a:p>
          <a:endParaRPr lang="en-GB"/>
        </a:p>
      </dgm:t>
    </dgm:pt>
    <dgm:pt modelId="{B1AE7F8B-3A2D-4296-851B-3390B6D5722B}" type="sibTrans" cxnId="{78D629A1-4FA0-4CE8-AC27-C6394B67B688}">
      <dgm:prSet/>
      <dgm:spPr/>
      <dgm:t>
        <a:bodyPr/>
        <a:lstStyle/>
        <a:p>
          <a:endParaRPr lang="en-GB"/>
        </a:p>
      </dgm:t>
    </dgm:pt>
    <dgm:pt modelId="{F6B1A265-9781-42F7-9EBA-3B4DA7C1B9E9}">
      <dgm:prSet phldrT="[Text]"/>
      <dgm:spPr/>
      <dgm:t>
        <a:bodyPr/>
        <a:lstStyle/>
        <a:p>
          <a:pPr rtl="1"/>
          <a:r>
            <a:rPr lang="ar-IQ">
              <a:latin typeface="Traditional Arabic" pitchFamily="18" charset="-78"/>
              <a:cs typeface="Traditional Arabic" pitchFamily="18" charset="-78"/>
            </a:rPr>
            <a:t>الاسرائيلية </a:t>
          </a:r>
          <a:br>
            <a:rPr lang="ar-IQ">
              <a:latin typeface="Traditional Arabic" pitchFamily="18" charset="-78"/>
              <a:cs typeface="Traditional Arabic" pitchFamily="18" charset="-78"/>
            </a:rPr>
          </a:br>
          <a:r>
            <a:rPr lang="he-IL" b="0">
              <a:latin typeface="Traditional Arabic" pitchFamily="18" charset="-78"/>
            </a:rPr>
            <a:t>דיבוב</a:t>
          </a:r>
          <a:r>
            <a:rPr lang="ar-IQ">
              <a:latin typeface="Traditional Arabic" pitchFamily="18" charset="-78"/>
              <a:cs typeface="Traditional Arabic" pitchFamily="18" charset="-78"/>
            </a:rPr>
            <a:t/>
          </a:r>
          <a:br>
            <a:rPr lang="ar-IQ">
              <a:latin typeface="Traditional Arabic" pitchFamily="18" charset="-78"/>
              <a:cs typeface="Traditional Arabic" pitchFamily="18" charset="-78"/>
            </a:rPr>
          </a:br>
          <a:r>
            <a:rPr lang="en-US" i="1">
              <a:latin typeface="Traditional Arabic" pitchFamily="18" charset="-78"/>
              <a:cs typeface="Traditional Arabic" pitchFamily="18" charset="-78"/>
            </a:rPr>
            <a:t>dibúb/divúv</a:t>
          </a:r>
          <a:r>
            <a:rPr lang="ar-IQ" i="1">
              <a:latin typeface="Traditional Arabic" pitchFamily="18" charset="-78"/>
              <a:cs typeface="Traditional Arabic" pitchFamily="18" charset="-78"/>
            </a:rPr>
            <a:t/>
          </a:r>
          <a:br>
            <a:rPr lang="ar-IQ" i="1">
              <a:latin typeface="Traditional Arabic" pitchFamily="18" charset="-78"/>
              <a:cs typeface="Traditional Arabic" pitchFamily="18" charset="-78"/>
            </a:rPr>
          </a:br>
          <a:r>
            <a:rPr lang="ar-IQ" i="0">
              <a:latin typeface="Traditional Arabic" pitchFamily="18" charset="-78"/>
              <a:cs typeface="Traditional Arabic" pitchFamily="18" charset="-78"/>
            </a:rPr>
            <a:t>’دبلجة‘</a:t>
          </a:r>
        </a:p>
      </dgm:t>
    </dgm:pt>
    <dgm:pt modelId="{02B132B6-4C40-4B71-B746-7B51E261D478}" type="parTrans" cxnId="{E322ED46-941F-48CC-90B1-11463BACCA0A}">
      <dgm:prSet/>
      <dgm:spPr/>
      <dgm:t>
        <a:bodyPr/>
        <a:lstStyle/>
        <a:p>
          <a:endParaRPr lang="en-GB"/>
        </a:p>
      </dgm:t>
    </dgm:pt>
    <dgm:pt modelId="{267A0E2E-97CE-4DF5-91EA-C6AA1DE46D83}" type="sibTrans" cxnId="{E322ED46-941F-48CC-90B1-11463BACCA0A}">
      <dgm:prSet/>
      <dgm:spPr/>
      <dgm:t>
        <a:bodyPr/>
        <a:lstStyle/>
        <a:p>
          <a:endParaRPr lang="en-GB"/>
        </a:p>
      </dgm:t>
    </dgm:pt>
    <dgm:pt modelId="{317FDC40-3AFA-4470-B71B-6858141A1AD5}">
      <dgm:prSet phldrT="[Text]"/>
      <dgm:spPr>
        <a:solidFill>
          <a:schemeClr val="accent1"/>
        </a:solidFill>
      </dgm:spPr>
      <dgm:t>
        <a:bodyPr/>
        <a:lstStyle/>
        <a:p>
          <a:pPr rtl="0"/>
          <a:r>
            <a:rPr lang="ar-IQ">
              <a:latin typeface="Traditional Arabic" pitchFamily="18" charset="-78"/>
              <a:cs typeface="Traditional Arabic" pitchFamily="18" charset="-78"/>
            </a:rPr>
            <a:t>عبرية العصور الوسطى</a:t>
          </a:r>
          <a:br>
            <a:rPr lang="ar-IQ">
              <a:latin typeface="Traditional Arabic" pitchFamily="18" charset="-78"/>
              <a:cs typeface="Traditional Arabic" pitchFamily="18" charset="-78"/>
            </a:rPr>
          </a:br>
          <a:r>
            <a:rPr lang="he-IL" b="0">
              <a:latin typeface="Traditional Arabic" pitchFamily="18" charset="-78"/>
            </a:rPr>
            <a:t>דבוב</a:t>
          </a:r>
          <a:r>
            <a:rPr lang="ar-IQ">
              <a:latin typeface="Traditional Arabic" pitchFamily="18" charset="-78"/>
              <a:cs typeface="Traditional Arabic" pitchFamily="18" charset="-78"/>
            </a:rPr>
            <a:t/>
          </a:r>
          <a:br>
            <a:rPr lang="ar-IQ">
              <a:latin typeface="Traditional Arabic" pitchFamily="18" charset="-78"/>
              <a:cs typeface="Traditional Arabic" pitchFamily="18" charset="-78"/>
            </a:rPr>
          </a:br>
          <a:r>
            <a:rPr lang="nl-NL" i="1">
              <a:latin typeface="Traditional Arabic" pitchFamily="18" charset="-78"/>
              <a:cs typeface="Traditional Arabic" pitchFamily="18" charset="-78"/>
            </a:rPr>
            <a:t>dibbūb</a:t>
          </a:r>
          <a:r>
            <a:rPr lang="nl-NL" i="1" baseline="30000">
              <a:latin typeface="Traditional Arabic" pitchFamily="18" charset="-78"/>
              <a:cs typeface="Traditional Arabic" pitchFamily="18" charset="-78"/>
            </a:rPr>
            <a:t>h</a:t>
          </a:r>
          <a:endParaRPr lang="ar-IQ" i="1" baseline="30000">
            <a:latin typeface="Traditional Arabic" pitchFamily="18" charset="-78"/>
            <a:cs typeface="Traditional Arabic" pitchFamily="18" charset="-78"/>
          </a:endParaRPr>
        </a:p>
        <a:p>
          <a:pPr rtl="0"/>
          <a:r>
            <a:rPr lang="ar-IQ" i="0" baseline="0">
              <a:latin typeface="Traditional Arabic" pitchFamily="18" charset="-78"/>
              <a:cs typeface="Traditional Arabic" pitchFamily="18" charset="-78"/>
            </a:rPr>
            <a:t>’خطاب‘، ’تحريض أحد على الكلام‘ </a:t>
          </a:r>
        </a:p>
        <a:p>
          <a:pPr rtl="1"/>
          <a:r>
            <a:rPr lang="ar-IQ" i="0" baseline="0">
              <a:latin typeface="Traditional Arabic" pitchFamily="18" charset="-78"/>
              <a:cs typeface="Traditional Arabic" pitchFamily="18" charset="-78"/>
            </a:rPr>
            <a:t>راجع عبارة </a:t>
          </a:r>
          <a:r>
            <a:rPr lang="he-IL">
              <a:latin typeface="Traditional Arabic" pitchFamily="18" charset="-78"/>
            </a:rPr>
            <a:t>דובב שׂפתי ישנים</a:t>
          </a:r>
          <a:r>
            <a:rPr lang="he-IL" i="1">
              <a:latin typeface="Traditional Arabic" pitchFamily="18" charset="-78"/>
            </a:rPr>
            <a:t> </a:t>
          </a:r>
          <a:r>
            <a:rPr lang="ar-IQ" i="0">
              <a:solidFill>
                <a:schemeClr val="bg1"/>
              </a:solidFill>
              <a:latin typeface="Traditional Arabic" pitchFamily="18" charset="-78"/>
              <a:cs typeface="Traditional Arabic" pitchFamily="18" charset="-78"/>
            </a:rPr>
            <a:t>بمعنى ’جعل شفاه النيام تتكلم‘ من أنشودة سل</a:t>
          </a:r>
          <a:r>
            <a:rPr lang="ar-IQ" i="0">
              <a:latin typeface="Traditional Arabic" pitchFamily="18" charset="-78"/>
              <a:cs typeface="Traditional Arabic" pitchFamily="18" charset="-78"/>
            </a:rPr>
            <a:t>يمان 7:10</a:t>
          </a:r>
          <a:endParaRPr lang="ar-IQ" i="0" baseline="0">
            <a:latin typeface="Traditional Arabic" pitchFamily="18" charset="-78"/>
            <a:cs typeface="Traditional Arabic" pitchFamily="18" charset="-78"/>
          </a:endParaRPr>
        </a:p>
      </dgm:t>
    </dgm:pt>
    <dgm:pt modelId="{4CE659EC-E20F-4A62-A1E8-693095CFBF9C}" type="parTrans" cxnId="{F14F3CA5-99D5-474B-90EE-8BD6B48B3EEC}">
      <dgm:prSet/>
      <dgm:spPr/>
      <dgm:t>
        <a:bodyPr/>
        <a:lstStyle/>
        <a:p>
          <a:endParaRPr lang="en-GB"/>
        </a:p>
      </dgm:t>
    </dgm:pt>
    <dgm:pt modelId="{A2AB6153-A588-4EDC-80D7-45AE38633655}" type="sibTrans" cxnId="{F14F3CA5-99D5-474B-90EE-8BD6B48B3EEC}">
      <dgm:prSet/>
      <dgm:spPr/>
      <dgm:t>
        <a:bodyPr/>
        <a:lstStyle/>
        <a:p>
          <a:endParaRPr lang="en-GB"/>
        </a:p>
      </dgm:t>
    </dgm:pt>
    <dgm:pt modelId="{1E5ADC21-F2F2-4070-AD36-DF972FF10598}" type="pres">
      <dgm:prSet presAssocID="{D1DDA110-2E08-4EBA-BBFB-10BDB52EF790}" presName="Name0" presStyleCnt="0">
        <dgm:presLayoutVars>
          <dgm:dir/>
          <dgm:resizeHandles val="exact"/>
        </dgm:presLayoutVars>
      </dgm:prSet>
      <dgm:spPr/>
    </dgm:pt>
    <dgm:pt modelId="{F812C8BC-3205-4B9B-A704-887755D79BD1}" type="pres">
      <dgm:prSet presAssocID="{B0E109D5-2AEC-4770-A733-E95D5A4EA25A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F8344B8-48C7-4E5D-8BFE-C44EE1BDBF12}" type="pres">
      <dgm:prSet presAssocID="{B1AE7F8B-3A2D-4296-851B-3390B6D5722B}" presName="sibTrans" presStyleLbl="sibTrans2D1" presStyleIdx="0" presStyleCnt="2"/>
      <dgm:spPr/>
      <dgm:t>
        <a:bodyPr/>
        <a:lstStyle/>
        <a:p>
          <a:endParaRPr lang="en-GB"/>
        </a:p>
      </dgm:t>
    </dgm:pt>
    <dgm:pt modelId="{5D1C89BE-057F-4E74-A067-AE4C1CCC67CB}" type="pres">
      <dgm:prSet presAssocID="{B1AE7F8B-3A2D-4296-851B-3390B6D5722B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ECABC1B1-3C0A-42A4-9C4F-3CD07E3D3E2F}" type="pres">
      <dgm:prSet presAssocID="{F6B1A265-9781-42F7-9EBA-3B4DA7C1B9E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1BE17BF-4684-4AB5-8B01-C70ECDDB68B5}" type="pres">
      <dgm:prSet presAssocID="{267A0E2E-97CE-4DF5-91EA-C6AA1DE46D83}" presName="sibTrans" presStyleLbl="sibTrans2D1" presStyleIdx="1" presStyleCnt="2" custFlipHor="1" custScaleX="98675"/>
      <dgm:spPr/>
      <dgm:t>
        <a:bodyPr/>
        <a:lstStyle/>
        <a:p>
          <a:endParaRPr lang="en-GB"/>
        </a:p>
      </dgm:t>
    </dgm:pt>
    <dgm:pt modelId="{A99DF697-F47C-44EC-9854-4397EC824E71}" type="pres">
      <dgm:prSet presAssocID="{267A0E2E-97CE-4DF5-91EA-C6AA1DE46D83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9D6FB0A1-4E28-44CD-87CB-332B41DB5D57}" type="pres">
      <dgm:prSet presAssocID="{317FDC40-3AFA-4470-B71B-6858141A1AD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83A55746-EE9C-41AD-8536-AF9BD1C43D09}" type="presOf" srcId="{B1AE7F8B-3A2D-4296-851B-3390B6D5722B}" destId="{5D1C89BE-057F-4E74-A067-AE4C1CCC67CB}" srcOrd="1" destOrd="0" presId="urn:microsoft.com/office/officeart/2005/8/layout/process1"/>
    <dgm:cxn modelId="{9342BA52-5CC6-4095-AA4C-2404A0C9AB95}" type="presOf" srcId="{267A0E2E-97CE-4DF5-91EA-C6AA1DE46D83}" destId="{A99DF697-F47C-44EC-9854-4397EC824E71}" srcOrd="1" destOrd="0" presId="urn:microsoft.com/office/officeart/2005/8/layout/process1"/>
    <dgm:cxn modelId="{F2EB1ACD-FEA0-4672-8E59-1F917D4D6D28}" type="presOf" srcId="{317FDC40-3AFA-4470-B71B-6858141A1AD5}" destId="{9D6FB0A1-4E28-44CD-87CB-332B41DB5D57}" srcOrd="0" destOrd="0" presId="urn:microsoft.com/office/officeart/2005/8/layout/process1"/>
    <dgm:cxn modelId="{0EA46E1E-30C2-49C4-BAFB-CDB8B4FC1E55}" type="presOf" srcId="{B1AE7F8B-3A2D-4296-851B-3390B6D5722B}" destId="{DF8344B8-48C7-4E5D-8BFE-C44EE1BDBF12}" srcOrd="0" destOrd="0" presId="urn:microsoft.com/office/officeart/2005/8/layout/process1"/>
    <dgm:cxn modelId="{5B94A4ED-A157-4BC3-BFA9-F1246DF2003B}" type="presOf" srcId="{D1DDA110-2E08-4EBA-BBFB-10BDB52EF790}" destId="{1E5ADC21-F2F2-4070-AD36-DF972FF10598}" srcOrd="0" destOrd="0" presId="urn:microsoft.com/office/officeart/2005/8/layout/process1"/>
    <dgm:cxn modelId="{45C3FF4B-EFB8-4EFB-A37E-B7580BC13CF3}" type="presOf" srcId="{B0E109D5-2AEC-4770-A733-E95D5A4EA25A}" destId="{F812C8BC-3205-4B9B-A704-887755D79BD1}" srcOrd="0" destOrd="0" presId="urn:microsoft.com/office/officeart/2005/8/layout/process1"/>
    <dgm:cxn modelId="{39DE6BB0-147B-4435-B7BB-CC892A817C47}" type="presOf" srcId="{F6B1A265-9781-42F7-9EBA-3B4DA7C1B9E9}" destId="{ECABC1B1-3C0A-42A4-9C4F-3CD07E3D3E2F}" srcOrd="0" destOrd="0" presId="urn:microsoft.com/office/officeart/2005/8/layout/process1"/>
    <dgm:cxn modelId="{E322ED46-941F-48CC-90B1-11463BACCA0A}" srcId="{D1DDA110-2E08-4EBA-BBFB-10BDB52EF790}" destId="{F6B1A265-9781-42F7-9EBA-3B4DA7C1B9E9}" srcOrd="1" destOrd="0" parTransId="{02B132B6-4C40-4B71-B746-7B51E261D478}" sibTransId="{267A0E2E-97CE-4DF5-91EA-C6AA1DE46D83}"/>
    <dgm:cxn modelId="{F14F3CA5-99D5-474B-90EE-8BD6B48B3EEC}" srcId="{D1DDA110-2E08-4EBA-BBFB-10BDB52EF790}" destId="{317FDC40-3AFA-4470-B71B-6858141A1AD5}" srcOrd="2" destOrd="0" parTransId="{4CE659EC-E20F-4A62-A1E8-693095CFBF9C}" sibTransId="{A2AB6153-A588-4EDC-80D7-45AE38633655}"/>
    <dgm:cxn modelId="{78D629A1-4FA0-4CE8-AC27-C6394B67B688}" srcId="{D1DDA110-2E08-4EBA-BBFB-10BDB52EF790}" destId="{B0E109D5-2AEC-4770-A733-E95D5A4EA25A}" srcOrd="0" destOrd="0" parTransId="{B8F3307D-F746-4246-BB17-76F9735E4931}" sibTransId="{B1AE7F8B-3A2D-4296-851B-3390B6D5722B}"/>
    <dgm:cxn modelId="{84CCFC9F-A215-4454-BC47-7B894D2715C5}" type="presOf" srcId="{267A0E2E-97CE-4DF5-91EA-C6AA1DE46D83}" destId="{01BE17BF-4684-4AB5-8B01-C70ECDDB68B5}" srcOrd="0" destOrd="0" presId="urn:microsoft.com/office/officeart/2005/8/layout/process1"/>
    <dgm:cxn modelId="{D45E90A1-313D-457E-B000-72F6FF35D659}" type="presParOf" srcId="{1E5ADC21-F2F2-4070-AD36-DF972FF10598}" destId="{F812C8BC-3205-4B9B-A704-887755D79BD1}" srcOrd="0" destOrd="0" presId="urn:microsoft.com/office/officeart/2005/8/layout/process1"/>
    <dgm:cxn modelId="{B43FD351-60B5-48EB-8239-63F183F4494F}" type="presParOf" srcId="{1E5ADC21-F2F2-4070-AD36-DF972FF10598}" destId="{DF8344B8-48C7-4E5D-8BFE-C44EE1BDBF12}" srcOrd="1" destOrd="0" presId="urn:microsoft.com/office/officeart/2005/8/layout/process1"/>
    <dgm:cxn modelId="{CA980E5E-3CC6-47B2-B3AB-CF5CFC54C28F}" type="presParOf" srcId="{DF8344B8-48C7-4E5D-8BFE-C44EE1BDBF12}" destId="{5D1C89BE-057F-4E74-A067-AE4C1CCC67CB}" srcOrd="0" destOrd="0" presId="urn:microsoft.com/office/officeart/2005/8/layout/process1"/>
    <dgm:cxn modelId="{564A1B9F-5E71-4D95-BD11-82EF206321B4}" type="presParOf" srcId="{1E5ADC21-F2F2-4070-AD36-DF972FF10598}" destId="{ECABC1B1-3C0A-42A4-9C4F-3CD07E3D3E2F}" srcOrd="2" destOrd="0" presId="urn:microsoft.com/office/officeart/2005/8/layout/process1"/>
    <dgm:cxn modelId="{D6947DDA-7C7C-4BB5-A1A6-3A633BB5CC9B}" type="presParOf" srcId="{1E5ADC21-F2F2-4070-AD36-DF972FF10598}" destId="{01BE17BF-4684-4AB5-8B01-C70ECDDB68B5}" srcOrd="3" destOrd="0" presId="urn:microsoft.com/office/officeart/2005/8/layout/process1"/>
    <dgm:cxn modelId="{E1AC5DD6-5418-4F88-A88C-16F60916AC90}" type="presParOf" srcId="{01BE17BF-4684-4AB5-8B01-C70ECDDB68B5}" destId="{A99DF697-F47C-44EC-9854-4397EC824E71}" srcOrd="0" destOrd="0" presId="urn:microsoft.com/office/officeart/2005/8/layout/process1"/>
    <dgm:cxn modelId="{D02EB654-3501-4355-B85C-E58D243474EA}" type="presParOf" srcId="{1E5ADC21-F2F2-4070-AD36-DF972FF10598}" destId="{9D6FB0A1-4E28-44CD-87CB-332B41DB5D5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1DDA110-2E08-4EBA-BBFB-10BDB52EF79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0E109D5-2AEC-4770-A733-E95D5A4EA25A}">
      <dgm:prSet phldrT="[Text]" custT="1"/>
      <dgm:spPr/>
      <dgm:t>
        <a:bodyPr/>
        <a:lstStyle/>
        <a:p>
          <a:pPr rtl="1"/>
          <a:r>
            <a:rPr lang="ar-IQ" sz="1200" b="0">
              <a:latin typeface="Traditional Arabic" pitchFamily="18" charset="-78"/>
              <a:cs typeface="Traditional Arabic" pitchFamily="18" charset="-78"/>
            </a:rPr>
            <a:t>اليديشية</a:t>
          </a:r>
          <a:br>
            <a:rPr lang="ar-IQ" sz="1200" b="0">
              <a:latin typeface="Traditional Arabic" pitchFamily="18" charset="-78"/>
              <a:cs typeface="Traditional Arabic" pitchFamily="18" charset="-78"/>
            </a:rPr>
          </a:br>
          <a:r>
            <a:rPr lang="he-IL" sz="1200" b="0">
              <a:latin typeface="Traditional Arabic" pitchFamily="18" charset="-78"/>
              <a:cs typeface="+mn-cs"/>
            </a:rPr>
            <a:t>שאַכער  מאַכער </a:t>
          </a:r>
          <a:endParaRPr lang="ar-IQ" sz="1200" b="0">
            <a:latin typeface="Traditional Arabic" pitchFamily="18" charset="-78"/>
            <a:cs typeface="Traditional Arabic" pitchFamily="18" charset="-78"/>
          </a:endParaRPr>
        </a:p>
        <a:p>
          <a:pPr rtl="1"/>
          <a:r>
            <a:rPr lang="en-US" sz="1200" b="0" i="1">
              <a:latin typeface="Traditional Arabic" pitchFamily="18" charset="-78"/>
              <a:cs typeface="Traditional Arabic" pitchFamily="18" charset="-78"/>
            </a:rPr>
            <a:t>shákhar mákher</a:t>
          </a:r>
          <a:r>
            <a:rPr lang="en-US" sz="1200" b="0">
              <a:latin typeface="Traditional Arabic" pitchFamily="18" charset="-78"/>
              <a:cs typeface="Traditional Arabic" pitchFamily="18" charset="-78"/>
            </a:rPr>
            <a:t> </a:t>
          </a:r>
        </a:p>
        <a:p>
          <a:pPr rtl="1"/>
          <a:r>
            <a:rPr lang="ar-IQ" sz="1200" b="0">
              <a:latin typeface="Traditional Arabic" pitchFamily="18" charset="-78"/>
              <a:cs typeface="Traditional Arabic" pitchFamily="18" charset="-78"/>
            </a:rPr>
            <a:t>’تاجر، نصاب‘</a:t>
          </a:r>
          <a:endParaRPr lang="en-GB" sz="1200" b="0">
            <a:latin typeface="Traditional Arabic" pitchFamily="18" charset="-78"/>
            <a:cs typeface="Traditional Arabic" pitchFamily="18" charset="-78"/>
          </a:endParaRPr>
        </a:p>
      </dgm:t>
    </dgm:pt>
    <dgm:pt modelId="{B8F3307D-F746-4246-BB17-76F9735E4931}" type="parTrans" cxnId="{78D629A1-4FA0-4CE8-AC27-C6394B67B688}">
      <dgm:prSet/>
      <dgm:spPr/>
      <dgm:t>
        <a:bodyPr/>
        <a:lstStyle/>
        <a:p>
          <a:endParaRPr lang="en-GB"/>
        </a:p>
      </dgm:t>
    </dgm:pt>
    <dgm:pt modelId="{B1AE7F8B-3A2D-4296-851B-3390B6D5722B}" type="sibTrans" cxnId="{78D629A1-4FA0-4CE8-AC27-C6394B67B688}">
      <dgm:prSet/>
      <dgm:spPr/>
      <dgm:t>
        <a:bodyPr/>
        <a:lstStyle/>
        <a:p>
          <a:endParaRPr lang="en-GB"/>
        </a:p>
      </dgm:t>
    </dgm:pt>
    <dgm:pt modelId="{F6B1A265-9781-42F7-9EBA-3B4DA7C1B9E9}">
      <dgm:prSet phldrT="[Text]" custT="1"/>
      <dgm:spPr/>
      <dgm:t>
        <a:bodyPr/>
        <a:lstStyle/>
        <a:p>
          <a:pPr rtl="1"/>
          <a:r>
            <a:rPr lang="ar-IQ" sz="1200" b="0">
              <a:latin typeface="Traditional Arabic" pitchFamily="18" charset="-78"/>
              <a:cs typeface="Traditional Arabic" pitchFamily="18" charset="-78"/>
            </a:rPr>
            <a:t>الاسرائيلية </a:t>
          </a:r>
          <a:br>
            <a:rPr lang="ar-IQ" sz="1200" b="0">
              <a:latin typeface="Traditional Arabic" pitchFamily="18" charset="-78"/>
              <a:cs typeface="Traditional Arabic" pitchFamily="18" charset="-78"/>
            </a:rPr>
          </a:br>
          <a:r>
            <a:rPr lang="he-IL" sz="1200" b="0">
              <a:latin typeface="Traditional Arabic" pitchFamily="18" charset="-78"/>
            </a:rPr>
            <a:t>סחר מכר</a:t>
          </a:r>
          <a:r>
            <a:rPr lang="ar-IQ" sz="1200" b="0">
              <a:latin typeface="Traditional Arabic" pitchFamily="18" charset="-78"/>
              <a:cs typeface="Traditional Arabic" pitchFamily="18" charset="-78"/>
            </a:rPr>
            <a:t/>
          </a:r>
          <a:br>
            <a:rPr lang="ar-IQ" sz="1200" b="0">
              <a:latin typeface="Traditional Arabic" pitchFamily="18" charset="-78"/>
              <a:cs typeface="Traditional Arabic" pitchFamily="18" charset="-78"/>
            </a:rPr>
          </a:br>
          <a:r>
            <a:rPr lang="en-US" sz="1200" b="0" i="1">
              <a:latin typeface="Traditional Arabic" pitchFamily="18" charset="-78"/>
              <a:cs typeface="Traditional Arabic" pitchFamily="18" charset="-78"/>
            </a:rPr>
            <a:t>sákhar mékher/</a:t>
          </a:r>
          <a:r>
            <a:rPr lang="en-US" sz="1200" b="0">
              <a:latin typeface="Traditional Arabic" pitchFamily="18" charset="-78"/>
              <a:cs typeface="Traditional Arabic" pitchFamily="18" charset="-78"/>
            </a:rPr>
            <a:t> </a:t>
          </a:r>
          <a:r>
            <a:rPr lang="en-US" sz="1200" b="0" i="1">
              <a:latin typeface="Traditional Arabic" pitchFamily="18" charset="-78"/>
              <a:cs typeface="Traditional Arabic" pitchFamily="18" charset="-78"/>
            </a:rPr>
            <a:t>sékher mékher/ sákhar mákhar</a:t>
          </a:r>
          <a:endParaRPr lang="ar-IQ" sz="1200" b="0" i="1">
            <a:latin typeface="Traditional Arabic" pitchFamily="18" charset="-78"/>
            <a:cs typeface="Traditional Arabic" pitchFamily="18" charset="-78"/>
          </a:endParaRPr>
        </a:p>
        <a:p>
          <a:pPr rtl="1"/>
          <a:r>
            <a:rPr lang="ar-IQ" sz="1200" b="0" i="0">
              <a:latin typeface="Traditional Arabic" pitchFamily="18" charset="-78"/>
              <a:cs typeface="Traditional Arabic" pitchFamily="18" charset="-78"/>
            </a:rPr>
            <a:t>’تجارة، معاملة‘</a:t>
          </a:r>
        </a:p>
        <a:p>
          <a:pPr rtl="1"/>
          <a:r>
            <a:rPr lang="ar-IQ" sz="1200" b="0" i="0">
              <a:latin typeface="Traditional Arabic" pitchFamily="18" charset="-78"/>
              <a:cs typeface="Traditional Arabic" pitchFamily="18" charset="-78"/>
            </a:rPr>
            <a:t>(غالباً ازدرائية)</a:t>
          </a:r>
        </a:p>
      </dgm:t>
    </dgm:pt>
    <dgm:pt modelId="{02B132B6-4C40-4B71-B746-7B51E261D478}" type="parTrans" cxnId="{E322ED46-941F-48CC-90B1-11463BACCA0A}">
      <dgm:prSet/>
      <dgm:spPr/>
      <dgm:t>
        <a:bodyPr/>
        <a:lstStyle/>
        <a:p>
          <a:endParaRPr lang="en-GB"/>
        </a:p>
      </dgm:t>
    </dgm:pt>
    <dgm:pt modelId="{267A0E2E-97CE-4DF5-91EA-C6AA1DE46D83}" type="sibTrans" cxnId="{E322ED46-941F-48CC-90B1-11463BACCA0A}">
      <dgm:prSet/>
      <dgm:spPr/>
      <dgm:t>
        <a:bodyPr/>
        <a:lstStyle/>
        <a:p>
          <a:endParaRPr lang="en-GB"/>
        </a:p>
      </dgm:t>
    </dgm:pt>
    <dgm:pt modelId="{317FDC40-3AFA-4470-B71B-6858141A1AD5}">
      <dgm:prSet phldrT="[Text]" custT="1"/>
      <dgm:spPr/>
      <dgm:t>
        <a:bodyPr/>
        <a:lstStyle/>
        <a:p>
          <a:pPr rtl="1"/>
          <a:r>
            <a:rPr lang="ar-IQ" sz="1200">
              <a:latin typeface="Traditional Arabic" pitchFamily="18" charset="-78"/>
              <a:cs typeface="Traditional Arabic" pitchFamily="18" charset="-78"/>
            </a:rPr>
            <a:t>العبرية التوراتية </a:t>
          </a:r>
        </a:p>
        <a:p>
          <a:pPr rtl="1"/>
          <a:r>
            <a:rPr lang="en-GB" sz="1200">
              <a:latin typeface="Traditional Arabic" pitchFamily="18" charset="-78"/>
              <a:cs typeface="Traditional Arabic" pitchFamily="18" charset="-78"/>
            </a:rPr>
            <a:t>saħar</a:t>
          </a:r>
          <a:r>
            <a:rPr lang="ar-IQ" sz="1200">
              <a:latin typeface="Traditional Arabic" pitchFamily="18" charset="-78"/>
              <a:cs typeface="Traditional Arabic" pitchFamily="18" charset="-78"/>
            </a:rPr>
            <a:t> </a:t>
          </a:r>
          <a:r>
            <a:rPr lang="he-IL" sz="1200" b="0">
              <a:latin typeface="Traditional Arabic" pitchFamily="18" charset="-78"/>
            </a:rPr>
            <a:t>סחר </a:t>
          </a:r>
          <a:r>
            <a:rPr lang="ar-IQ" sz="1200" b="0">
              <a:latin typeface="Traditional Arabic" pitchFamily="18" charset="-78"/>
              <a:cs typeface="Traditional Arabic" pitchFamily="18" charset="-78"/>
            </a:rPr>
            <a:t>’تجارة‘</a:t>
          </a:r>
        </a:p>
        <a:p>
          <a:pPr rtl="1"/>
          <a:r>
            <a:rPr lang="he-IL" sz="1200" b="1">
              <a:latin typeface="Traditional Arabic" pitchFamily="18" charset="-78"/>
            </a:rPr>
            <a:t>מכר</a:t>
          </a:r>
          <a:r>
            <a:rPr lang="he-IL" sz="1200">
              <a:latin typeface="Traditional Arabic" pitchFamily="18" charset="-78"/>
            </a:rPr>
            <a:t> </a:t>
          </a:r>
          <a:r>
            <a:rPr lang="en-US" sz="1200">
              <a:latin typeface="Traditional Arabic" pitchFamily="18" charset="-78"/>
              <a:cs typeface="Traditional Arabic" pitchFamily="18" charset="-78"/>
            </a:rPr>
            <a:t>‘m</a:t>
          </a:r>
          <a:r>
            <a:rPr lang="en-US" sz="1200">
              <a:latin typeface="Traditional Arabic" pitchFamily="18" charset="-78"/>
              <a:cs typeface="Traditional Arabic" pitchFamily="18" charset="-78"/>
              <a:sym typeface="Symbol"/>
            </a:rPr>
            <a:t></a:t>
          </a:r>
          <a:r>
            <a:rPr lang="en-US" sz="1200">
              <a:latin typeface="Traditional Arabic" pitchFamily="18" charset="-78"/>
              <a:cs typeface="Traditional Arabic" pitchFamily="18" charset="-78"/>
            </a:rPr>
            <a:t>k</a:t>
          </a:r>
          <a:r>
            <a:rPr lang="en-US" sz="1200" baseline="30000">
              <a:latin typeface="Traditional Arabic" pitchFamily="18" charset="-78"/>
              <a:cs typeface="Traditional Arabic" pitchFamily="18" charset="-78"/>
            </a:rPr>
            <a:t>h</a:t>
          </a:r>
          <a:r>
            <a:rPr lang="en-US" sz="1200">
              <a:latin typeface="Traditional Arabic" pitchFamily="18" charset="-78"/>
              <a:cs typeface="Traditional Arabic" pitchFamily="18" charset="-78"/>
              <a:sym typeface="Symbol"/>
            </a:rPr>
            <a:t></a:t>
          </a:r>
          <a:r>
            <a:rPr lang="en-US" sz="1200">
              <a:latin typeface="Traditional Arabic" pitchFamily="18" charset="-78"/>
              <a:cs typeface="Traditional Arabic" pitchFamily="18" charset="-78"/>
            </a:rPr>
            <a:t>r</a:t>
          </a:r>
          <a:r>
            <a:rPr lang="ar-IQ" sz="1200">
              <a:latin typeface="Traditional Arabic" pitchFamily="18" charset="-78"/>
              <a:cs typeface="Traditional Arabic" pitchFamily="18" charset="-78"/>
            </a:rPr>
            <a:t>’بيع’</a:t>
          </a:r>
          <a:endParaRPr lang="ar-IQ" sz="1200" b="0" i="0" baseline="0">
            <a:latin typeface="Traditional Arabic" pitchFamily="18" charset="-78"/>
            <a:cs typeface="Traditional Arabic" pitchFamily="18" charset="-78"/>
          </a:endParaRPr>
        </a:p>
      </dgm:t>
    </dgm:pt>
    <dgm:pt modelId="{4CE659EC-E20F-4A62-A1E8-693095CFBF9C}" type="parTrans" cxnId="{F14F3CA5-99D5-474B-90EE-8BD6B48B3EEC}">
      <dgm:prSet/>
      <dgm:spPr/>
      <dgm:t>
        <a:bodyPr/>
        <a:lstStyle/>
        <a:p>
          <a:endParaRPr lang="en-GB"/>
        </a:p>
      </dgm:t>
    </dgm:pt>
    <dgm:pt modelId="{A2AB6153-A588-4EDC-80D7-45AE38633655}" type="sibTrans" cxnId="{F14F3CA5-99D5-474B-90EE-8BD6B48B3EEC}">
      <dgm:prSet/>
      <dgm:spPr/>
      <dgm:t>
        <a:bodyPr/>
        <a:lstStyle/>
        <a:p>
          <a:endParaRPr lang="en-GB"/>
        </a:p>
      </dgm:t>
    </dgm:pt>
    <dgm:pt modelId="{1E5ADC21-F2F2-4070-AD36-DF972FF10598}" type="pres">
      <dgm:prSet presAssocID="{D1DDA110-2E08-4EBA-BBFB-10BDB52EF790}" presName="Name0" presStyleCnt="0">
        <dgm:presLayoutVars>
          <dgm:dir/>
          <dgm:resizeHandles val="exact"/>
        </dgm:presLayoutVars>
      </dgm:prSet>
      <dgm:spPr/>
    </dgm:pt>
    <dgm:pt modelId="{F812C8BC-3205-4B9B-A704-887755D79BD1}" type="pres">
      <dgm:prSet presAssocID="{B0E109D5-2AEC-4770-A733-E95D5A4EA25A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F8344B8-48C7-4E5D-8BFE-C44EE1BDBF12}" type="pres">
      <dgm:prSet presAssocID="{B1AE7F8B-3A2D-4296-851B-3390B6D5722B}" presName="sibTrans" presStyleLbl="sibTrans2D1" presStyleIdx="0" presStyleCnt="2"/>
      <dgm:spPr/>
      <dgm:t>
        <a:bodyPr/>
        <a:lstStyle/>
        <a:p>
          <a:endParaRPr lang="en-GB"/>
        </a:p>
      </dgm:t>
    </dgm:pt>
    <dgm:pt modelId="{5D1C89BE-057F-4E74-A067-AE4C1CCC67CB}" type="pres">
      <dgm:prSet presAssocID="{B1AE7F8B-3A2D-4296-851B-3390B6D5722B}" presName="connectorText" presStyleLbl="sibTrans2D1" presStyleIdx="0" presStyleCnt="2"/>
      <dgm:spPr/>
      <dgm:t>
        <a:bodyPr/>
        <a:lstStyle/>
        <a:p>
          <a:endParaRPr lang="en-GB"/>
        </a:p>
      </dgm:t>
    </dgm:pt>
    <dgm:pt modelId="{ECABC1B1-3C0A-42A4-9C4F-3CD07E3D3E2F}" type="pres">
      <dgm:prSet presAssocID="{F6B1A265-9781-42F7-9EBA-3B4DA7C1B9E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1BE17BF-4684-4AB5-8B01-C70ECDDB68B5}" type="pres">
      <dgm:prSet presAssocID="{267A0E2E-97CE-4DF5-91EA-C6AA1DE46D83}" presName="sibTrans" presStyleLbl="sibTrans2D1" presStyleIdx="1" presStyleCnt="2" custFlipHor="1" custScaleX="98675"/>
      <dgm:spPr/>
      <dgm:t>
        <a:bodyPr/>
        <a:lstStyle/>
        <a:p>
          <a:endParaRPr lang="en-GB"/>
        </a:p>
      </dgm:t>
    </dgm:pt>
    <dgm:pt modelId="{A99DF697-F47C-44EC-9854-4397EC824E71}" type="pres">
      <dgm:prSet presAssocID="{267A0E2E-97CE-4DF5-91EA-C6AA1DE46D83}" presName="connectorText" presStyleLbl="sibTrans2D1" presStyleIdx="1" presStyleCnt="2"/>
      <dgm:spPr/>
      <dgm:t>
        <a:bodyPr/>
        <a:lstStyle/>
        <a:p>
          <a:endParaRPr lang="en-GB"/>
        </a:p>
      </dgm:t>
    </dgm:pt>
    <dgm:pt modelId="{9D6FB0A1-4E28-44CD-87CB-332B41DB5D57}" type="pres">
      <dgm:prSet presAssocID="{317FDC40-3AFA-4470-B71B-6858141A1AD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0C53B0DB-F550-4A3D-8B5E-C6F77B2A4686}" type="presOf" srcId="{F6B1A265-9781-42F7-9EBA-3B4DA7C1B9E9}" destId="{ECABC1B1-3C0A-42A4-9C4F-3CD07E3D3E2F}" srcOrd="0" destOrd="0" presId="urn:microsoft.com/office/officeart/2005/8/layout/process1"/>
    <dgm:cxn modelId="{3AB8BD3B-6129-4B5A-87F6-D9F65E119956}" type="presOf" srcId="{267A0E2E-97CE-4DF5-91EA-C6AA1DE46D83}" destId="{A99DF697-F47C-44EC-9854-4397EC824E71}" srcOrd="1" destOrd="0" presId="urn:microsoft.com/office/officeart/2005/8/layout/process1"/>
    <dgm:cxn modelId="{E322ED46-941F-48CC-90B1-11463BACCA0A}" srcId="{D1DDA110-2E08-4EBA-BBFB-10BDB52EF790}" destId="{F6B1A265-9781-42F7-9EBA-3B4DA7C1B9E9}" srcOrd="1" destOrd="0" parTransId="{02B132B6-4C40-4B71-B746-7B51E261D478}" sibTransId="{267A0E2E-97CE-4DF5-91EA-C6AA1DE46D83}"/>
    <dgm:cxn modelId="{D97B861C-3750-4DEB-BE42-71CDE3216AB6}" type="presOf" srcId="{267A0E2E-97CE-4DF5-91EA-C6AA1DE46D83}" destId="{01BE17BF-4684-4AB5-8B01-C70ECDDB68B5}" srcOrd="0" destOrd="0" presId="urn:microsoft.com/office/officeart/2005/8/layout/process1"/>
    <dgm:cxn modelId="{F14F3CA5-99D5-474B-90EE-8BD6B48B3EEC}" srcId="{D1DDA110-2E08-4EBA-BBFB-10BDB52EF790}" destId="{317FDC40-3AFA-4470-B71B-6858141A1AD5}" srcOrd="2" destOrd="0" parTransId="{4CE659EC-E20F-4A62-A1E8-693095CFBF9C}" sibTransId="{A2AB6153-A588-4EDC-80D7-45AE38633655}"/>
    <dgm:cxn modelId="{574ED662-2062-40D3-B90E-5712C0B6D9EE}" type="presOf" srcId="{B1AE7F8B-3A2D-4296-851B-3390B6D5722B}" destId="{5D1C89BE-057F-4E74-A067-AE4C1CCC67CB}" srcOrd="1" destOrd="0" presId="urn:microsoft.com/office/officeart/2005/8/layout/process1"/>
    <dgm:cxn modelId="{78D629A1-4FA0-4CE8-AC27-C6394B67B688}" srcId="{D1DDA110-2E08-4EBA-BBFB-10BDB52EF790}" destId="{B0E109D5-2AEC-4770-A733-E95D5A4EA25A}" srcOrd="0" destOrd="0" parTransId="{B8F3307D-F746-4246-BB17-76F9735E4931}" sibTransId="{B1AE7F8B-3A2D-4296-851B-3390B6D5722B}"/>
    <dgm:cxn modelId="{86D69A28-2E1D-4043-8814-D9544949C8B5}" type="presOf" srcId="{D1DDA110-2E08-4EBA-BBFB-10BDB52EF790}" destId="{1E5ADC21-F2F2-4070-AD36-DF972FF10598}" srcOrd="0" destOrd="0" presId="urn:microsoft.com/office/officeart/2005/8/layout/process1"/>
    <dgm:cxn modelId="{9D553237-9789-4485-AE58-2A4FCA53CBB7}" type="presOf" srcId="{317FDC40-3AFA-4470-B71B-6858141A1AD5}" destId="{9D6FB0A1-4E28-44CD-87CB-332B41DB5D57}" srcOrd="0" destOrd="0" presId="urn:microsoft.com/office/officeart/2005/8/layout/process1"/>
    <dgm:cxn modelId="{E320066C-434E-446A-BED4-8214FACE949F}" type="presOf" srcId="{B0E109D5-2AEC-4770-A733-E95D5A4EA25A}" destId="{F812C8BC-3205-4B9B-A704-887755D79BD1}" srcOrd="0" destOrd="0" presId="urn:microsoft.com/office/officeart/2005/8/layout/process1"/>
    <dgm:cxn modelId="{32C3951F-443A-40E5-B4FE-1D346B6BE0F5}" type="presOf" srcId="{B1AE7F8B-3A2D-4296-851B-3390B6D5722B}" destId="{DF8344B8-48C7-4E5D-8BFE-C44EE1BDBF12}" srcOrd="0" destOrd="0" presId="urn:microsoft.com/office/officeart/2005/8/layout/process1"/>
    <dgm:cxn modelId="{5FE971E4-7712-47B2-8EC3-60BC3587B87D}" type="presParOf" srcId="{1E5ADC21-F2F2-4070-AD36-DF972FF10598}" destId="{F812C8BC-3205-4B9B-A704-887755D79BD1}" srcOrd="0" destOrd="0" presId="urn:microsoft.com/office/officeart/2005/8/layout/process1"/>
    <dgm:cxn modelId="{C3FE8C74-A8AB-416F-8A51-610E4D7699B2}" type="presParOf" srcId="{1E5ADC21-F2F2-4070-AD36-DF972FF10598}" destId="{DF8344B8-48C7-4E5D-8BFE-C44EE1BDBF12}" srcOrd="1" destOrd="0" presId="urn:microsoft.com/office/officeart/2005/8/layout/process1"/>
    <dgm:cxn modelId="{02646F68-0000-42F0-ABE9-D2A70B6F6D8B}" type="presParOf" srcId="{DF8344B8-48C7-4E5D-8BFE-C44EE1BDBF12}" destId="{5D1C89BE-057F-4E74-A067-AE4C1CCC67CB}" srcOrd="0" destOrd="0" presId="urn:microsoft.com/office/officeart/2005/8/layout/process1"/>
    <dgm:cxn modelId="{B63DB4AA-F0F2-4799-B460-C42206BFE1B3}" type="presParOf" srcId="{1E5ADC21-F2F2-4070-AD36-DF972FF10598}" destId="{ECABC1B1-3C0A-42A4-9C4F-3CD07E3D3E2F}" srcOrd="2" destOrd="0" presId="urn:microsoft.com/office/officeart/2005/8/layout/process1"/>
    <dgm:cxn modelId="{846FC9A2-9776-4359-95A3-CC8C7FDCF68E}" type="presParOf" srcId="{1E5ADC21-F2F2-4070-AD36-DF972FF10598}" destId="{01BE17BF-4684-4AB5-8B01-C70ECDDB68B5}" srcOrd="3" destOrd="0" presId="urn:microsoft.com/office/officeart/2005/8/layout/process1"/>
    <dgm:cxn modelId="{784D6168-7338-4C8B-88EA-23F39F586F0C}" type="presParOf" srcId="{01BE17BF-4684-4AB5-8B01-C70ECDDB68B5}" destId="{A99DF697-F47C-44EC-9854-4397EC824E71}" srcOrd="0" destOrd="0" presId="urn:microsoft.com/office/officeart/2005/8/layout/process1"/>
    <dgm:cxn modelId="{FCE61470-80A0-4309-9DC6-4E3DB487B846}" type="presParOf" srcId="{1E5ADC21-F2F2-4070-AD36-DF972FF10598}" destId="{9D6FB0A1-4E28-44CD-87CB-332B41DB5D5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C9EDD7-6C2D-4C6D-B454-616621983DDF}">
      <dsp:nvSpPr>
        <dsp:cNvPr id="0" name=""/>
        <dsp:cNvSpPr/>
      </dsp:nvSpPr>
      <dsp:spPr>
        <a:xfrm>
          <a:off x="1075833" y="1123258"/>
          <a:ext cx="2782283" cy="5699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400" kern="1200">
              <a:latin typeface="Traditional Arabic" pitchFamily="18" charset="-78"/>
              <a:cs typeface="Traditional Arabic" pitchFamily="18" charset="-78"/>
            </a:rPr>
            <a:t>اللغة الهدف </a:t>
          </a:r>
          <a:r>
            <a:rPr lang="ar-IQ" sz="1400" kern="1200" baseline="-25000">
              <a:latin typeface="Traditional Arabic" pitchFamily="18" charset="-78"/>
              <a:cs typeface="Traditional Arabic" pitchFamily="18" charset="-78"/>
            </a:rPr>
            <a:t>(+التطابق الدلالي اللفظي)</a:t>
          </a:r>
          <a:r>
            <a:rPr lang="ar-IQ" sz="1400" kern="1200">
              <a:latin typeface="Traditional Arabic" pitchFamily="18" charset="-78"/>
              <a:cs typeface="Traditional Arabic" pitchFamily="18" charset="-78"/>
            </a:rPr>
            <a:t> صَ اَ</a:t>
          </a:r>
          <a:endParaRPr lang="en-GB" sz="14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1483289" y="1206727"/>
        <a:ext cx="1967371" cy="403026"/>
      </dsp:txXfrm>
    </dsp:sp>
    <dsp:sp modelId="{C1C587AE-94C2-4605-8D72-34148914E8C4}">
      <dsp:nvSpPr>
        <dsp:cNvPr id="0" name=""/>
        <dsp:cNvSpPr/>
      </dsp:nvSpPr>
      <dsp:spPr>
        <a:xfrm rot="13294578">
          <a:off x="1038814" y="503330"/>
          <a:ext cx="1215320" cy="3540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D496D5-E233-4EE6-B04D-76CEA15BF348}">
      <dsp:nvSpPr>
        <dsp:cNvPr id="0" name=""/>
        <dsp:cNvSpPr/>
      </dsp:nvSpPr>
      <dsp:spPr>
        <a:xfrm>
          <a:off x="194291" y="139833"/>
          <a:ext cx="1995218" cy="274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400" kern="1200">
              <a:latin typeface="Traditional Arabic" pitchFamily="18" charset="-78"/>
              <a:cs typeface="Traditional Arabic" pitchFamily="18" charset="-78"/>
            </a:rPr>
            <a:t>اللغة الهدف ص ب</a:t>
          </a:r>
          <a:endParaRPr lang="en-GB" sz="14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202333" y="147875"/>
        <a:ext cx="1979134" cy="258487"/>
      </dsp:txXfrm>
    </dsp:sp>
    <dsp:sp modelId="{AD42C01D-7057-4A7D-A491-D1FE929AEF6F}">
      <dsp:nvSpPr>
        <dsp:cNvPr id="0" name=""/>
        <dsp:cNvSpPr/>
      </dsp:nvSpPr>
      <dsp:spPr>
        <a:xfrm rot="19245174">
          <a:off x="2719568" y="507471"/>
          <a:ext cx="1266590" cy="3540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C0637F-9D9F-4380-B0CE-5AB32F97B93E}">
      <dsp:nvSpPr>
        <dsp:cNvPr id="0" name=""/>
        <dsp:cNvSpPr/>
      </dsp:nvSpPr>
      <dsp:spPr>
        <a:xfrm>
          <a:off x="2845693" y="146563"/>
          <a:ext cx="1995218" cy="274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400" kern="1200">
              <a:latin typeface="Traditional Arabic" pitchFamily="18" charset="-78"/>
              <a:cs typeface="Traditional Arabic" pitchFamily="18" charset="-78"/>
            </a:rPr>
            <a:t>اللغة الأصل س ا</a:t>
          </a:r>
          <a:endParaRPr lang="en-GB" sz="14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2853735" y="154605"/>
        <a:ext cx="1979134" cy="2584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12C8BC-3205-4B9B-A704-887755D79BD1}">
      <dsp:nvSpPr>
        <dsp:cNvPr id="0" name=""/>
        <dsp:cNvSpPr/>
      </dsp:nvSpPr>
      <dsp:spPr>
        <a:xfrm>
          <a:off x="4889" y="32230"/>
          <a:ext cx="1461268" cy="19453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300" kern="1200"/>
            <a:t>اليونانية القديمة </a:t>
          </a:r>
          <a:br>
            <a:rPr lang="ar-IQ" sz="1300" kern="1200"/>
          </a:br>
          <a:r>
            <a:rPr lang="en-US" sz="1300" kern="1200">
              <a:sym typeface="Symbol"/>
            </a:rPr>
            <a:t></a:t>
          </a:r>
          <a:r>
            <a:rPr lang="el-GR" sz="1300" kern="1200"/>
            <a:t>έ</a:t>
          </a:r>
          <a:r>
            <a:rPr lang="en-US" sz="1300" kern="1200">
              <a:sym typeface="Symbol"/>
            </a:rPr>
            <a:t></a:t>
          </a:r>
          <a:r>
            <a:rPr lang="el-GR" sz="1300" kern="1200"/>
            <a:t>  </a:t>
          </a:r>
          <a:r>
            <a:rPr lang="ar-IQ" sz="1300" kern="1200"/>
            <a:t/>
          </a:r>
          <a:br>
            <a:rPr lang="ar-IQ" sz="1300" kern="1200"/>
          </a:br>
          <a:r>
            <a:rPr lang="en-US" sz="1300" i="1" kern="1200"/>
            <a:t>skopéō</a:t>
          </a:r>
          <a:r>
            <a:rPr lang="ar-IQ" sz="1300" i="1" kern="1200"/>
            <a:t/>
          </a:r>
          <a:br>
            <a:rPr lang="ar-IQ" sz="1300" i="1" kern="1200"/>
          </a:br>
          <a:r>
            <a:rPr lang="ar-IQ" sz="1300" i="0" kern="1200"/>
            <a:t>’أ</a:t>
          </a:r>
          <a:r>
            <a:rPr lang="ar-IQ" sz="1300" kern="1200"/>
            <a:t>نا أنظر إلى‘</a:t>
          </a:r>
        </a:p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300" kern="1200"/>
            <a:t>راجع الكلمة اليديشية</a:t>
          </a:r>
          <a:br>
            <a:rPr lang="ar-IQ" sz="1300" kern="1200"/>
          </a:br>
          <a:r>
            <a:rPr lang="he-IL" sz="1300" kern="1200"/>
            <a:t>שפאַקולן </a:t>
          </a:r>
          <a:r>
            <a:rPr lang="en-GB" sz="1300" b="1" i="1" kern="1200"/>
            <a:t>shpak</a:t>
          </a:r>
          <a:r>
            <a:rPr lang="en-GB" sz="1300" i="1" kern="1200"/>
            <a:t>úlņ</a:t>
          </a:r>
          <a:r>
            <a:rPr lang="en-GB" sz="1300" kern="1200"/>
            <a:t> </a:t>
          </a:r>
          <a:r>
            <a:rPr lang="ar-IQ" sz="1300" kern="1200"/>
            <a:t/>
          </a:r>
          <a:br>
            <a:rPr lang="ar-IQ" sz="1300" kern="1200"/>
          </a:br>
          <a:r>
            <a:rPr lang="ar-IQ" sz="1300" kern="1200"/>
            <a:t>’نظارات‘</a:t>
          </a:r>
        </a:p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300" kern="1200"/>
            <a:t>(باليديشية اللتوانية </a:t>
          </a:r>
          <a:r>
            <a:rPr lang="he-IL" sz="1300" kern="1200"/>
            <a:t>ספאַקולן </a:t>
          </a:r>
          <a:r>
            <a:rPr lang="en-GB" sz="1300" i="1" kern="1200"/>
            <a:t>spakúlņ</a:t>
          </a:r>
          <a:r>
            <a:rPr lang="ar-IQ" sz="1300" i="1" kern="1200"/>
            <a:t>)</a:t>
          </a:r>
          <a:r>
            <a:rPr lang="ar-IQ" sz="1300" kern="1200"/>
            <a:t> </a:t>
          </a:r>
          <a:endParaRPr lang="en-GB" sz="1300" kern="1200"/>
        </a:p>
      </dsp:txBody>
      <dsp:txXfrm>
        <a:off x="47688" y="75029"/>
        <a:ext cx="1375670" cy="1859716"/>
      </dsp:txXfrm>
    </dsp:sp>
    <dsp:sp modelId="{DF8344B8-48C7-4E5D-8BFE-C44EE1BDBF12}">
      <dsp:nvSpPr>
        <dsp:cNvPr id="0" name=""/>
        <dsp:cNvSpPr/>
      </dsp:nvSpPr>
      <dsp:spPr>
        <a:xfrm>
          <a:off x="1612284" y="823690"/>
          <a:ext cx="309789" cy="3623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/>
        </a:p>
      </dsp:txBody>
      <dsp:txXfrm>
        <a:off x="1612284" y="896169"/>
        <a:ext cx="216852" cy="217436"/>
      </dsp:txXfrm>
    </dsp:sp>
    <dsp:sp modelId="{ECABC1B1-3C0A-42A4-9C4F-3CD07E3D3E2F}">
      <dsp:nvSpPr>
        <dsp:cNvPr id="0" name=""/>
        <dsp:cNvSpPr/>
      </dsp:nvSpPr>
      <dsp:spPr>
        <a:xfrm>
          <a:off x="2050665" y="32230"/>
          <a:ext cx="1461268" cy="19453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300" kern="1200"/>
            <a:t>الاسرائيلية </a:t>
          </a:r>
          <a:br>
            <a:rPr lang="ar-IQ" sz="1300" kern="1200"/>
          </a:br>
          <a:r>
            <a:rPr lang="he-IL" sz="1300" kern="1200"/>
            <a:t>משקפים</a:t>
          </a:r>
          <a:r>
            <a:rPr lang="ar-IQ" sz="1300" kern="1200"/>
            <a:t/>
          </a:r>
          <a:br>
            <a:rPr lang="ar-IQ" sz="1300" kern="1200"/>
          </a:br>
          <a:r>
            <a:rPr lang="en-US" sz="1300" i="1" kern="1200"/>
            <a:t>mishkafáim </a:t>
          </a:r>
          <a:r>
            <a:rPr lang="ar-IQ" sz="1300" i="1" kern="1200"/>
            <a:t/>
          </a:r>
          <a:br>
            <a:rPr lang="ar-IQ" sz="1300" i="1" kern="1200"/>
          </a:br>
          <a:r>
            <a:rPr lang="ar-IQ" sz="1300" i="0" kern="1200"/>
            <a:t>’نظارات‘</a:t>
          </a:r>
          <a:br>
            <a:rPr lang="ar-IQ" sz="1300" i="0" kern="1200"/>
          </a:br>
          <a:endParaRPr lang="ar-IQ" sz="1300" i="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100" kern="1200"/>
            <a:t>(المفردة من صياغة خايم ليب هازان من مدينة غرودنو في 1890)</a:t>
          </a:r>
          <a:endParaRPr lang="en-GB" sz="1100" kern="1200"/>
        </a:p>
      </dsp:txBody>
      <dsp:txXfrm>
        <a:off x="2093464" y="75029"/>
        <a:ext cx="1375670" cy="1859716"/>
      </dsp:txXfrm>
    </dsp:sp>
    <dsp:sp modelId="{01BE17BF-4684-4AB5-8B01-C70ECDDB68B5}">
      <dsp:nvSpPr>
        <dsp:cNvPr id="0" name=""/>
        <dsp:cNvSpPr/>
      </dsp:nvSpPr>
      <dsp:spPr>
        <a:xfrm flipH="1">
          <a:off x="3660113" y="823690"/>
          <a:ext cx="305684" cy="3623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/>
        </a:p>
      </dsp:txBody>
      <dsp:txXfrm>
        <a:off x="3751818" y="896169"/>
        <a:ext cx="213979" cy="217436"/>
      </dsp:txXfrm>
    </dsp:sp>
    <dsp:sp modelId="{9D6FB0A1-4E28-44CD-87CB-332B41DB5D57}">
      <dsp:nvSpPr>
        <dsp:cNvPr id="0" name=""/>
        <dsp:cNvSpPr/>
      </dsp:nvSpPr>
      <dsp:spPr>
        <a:xfrm>
          <a:off x="4096442" y="32230"/>
          <a:ext cx="1461268" cy="19453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300" kern="1200"/>
            <a:t>العبرية التوراتية</a:t>
          </a:r>
          <a:br>
            <a:rPr lang="ar-IQ" sz="1300" kern="1200"/>
          </a:br>
          <a:r>
            <a:rPr lang="he-IL" sz="1300" kern="1200"/>
            <a:t>שקפ </a:t>
          </a:r>
          <a:r>
            <a:rPr lang="ar-IQ" sz="1300" kern="1200"/>
            <a:t/>
          </a:r>
          <a:br>
            <a:rPr lang="ar-IQ" sz="1300" kern="1200"/>
          </a:br>
          <a:r>
            <a:rPr lang="he-IL" sz="1300" kern="1200"/>
            <a:t>√</a:t>
          </a:r>
          <a:r>
            <a:rPr lang="en-US" sz="1300" i="1" kern="1200"/>
            <a:t>šqp</a:t>
          </a:r>
          <a:r>
            <a:rPr lang="ar-IQ" sz="1300" i="1" kern="1200"/>
            <a:t/>
          </a:r>
          <a:br>
            <a:rPr lang="ar-IQ" sz="1300" i="1" kern="1200"/>
          </a:br>
          <a:r>
            <a:rPr lang="ar-IQ" sz="1300" i="0" kern="1200"/>
            <a:t>’النظر إلى أو من خلال‘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300" kern="1200"/>
        </a:p>
      </dsp:txBody>
      <dsp:txXfrm>
        <a:off x="4139241" y="75029"/>
        <a:ext cx="1375670" cy="185971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12C8BC-3205-4B9B-A704-887755D79BD1}">
      <dsp:nvSpPr>
        <dsp:cNvPr id="0" name=""/>
        <dsp:cNvSpPr/>
      </dsp:nvSpPr>
      <dsp:spPr>
        <a:xfrm>
          <a:off x="4893" y="40533"/>
          <a:ext cx="1462698" cy="2194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>الانجليزية</a:t>
          </a:r>
          <a:br>
            <a:rPr lang="ar-IQ" sz="1200" kern="1200">
              <a:latin typeface="Traditional Arabic" pitchFamily="18" charset="-78"/>
              <a:cs typeface="Traditional Arabic" pitchFamily="18" charset="-78"/>
            </a:rPr>
          </a:br>
          <a:r>
            <a:rPr lang="en-GB" sz="1200" kern="1200">
              <a:latin typeface="Traditional Arabic" pitchFamily="18" charset="-78"/>
              <a:cs typeface="Traditional Arabic" pitchFamily="18" charset="-78"/>
            </a:rPr>
            <a:t>dubbing</a:t>
          </a: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/>
          </a:r>
          <a:br>
            <a:rPr lang="ar-IQ" sz="1200" kern="1200">
              <a:latin typeface="Traditional Arabic" pitchFamily="18" charset="-78"/>
              <a:cs typeface="Traditional Arabic" pitchFamily="18" charset="-78"/>
            </a:rPr>
          </a:br>
          <a:r>
            <a:rPr lang="ar-IQ" sz="1200" i="0" kern="1200">
              <a:latin typeface="Traditional Arabic" pitchFamily="18" charset="-78"/>
              <a:cs typeface="Traditional Arabic" pitchFamily="18" charset="-78"/>
            </a:rPr>
            <a:t>’دبلجة‘</a:t>
          </a:r>
          <a:endParaRPr lang="en-GB" sz="12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7734" y="83374"/>
        <a:ext cx="1377016" cy="2108365"/>
      </dsp:txXfrm>
    </dsp:sp>
    <dsp:sp modelId="{DF8344B8-48C7-4E5D-8BFE-C44EE1BDBF12}">
      <dsp:nvSpPr>
        <dsp:cNvPr id="0" name=""/>
        <dsp:cNvSpPr/>
      </dsp:nvSpPr>
      <dsp:spPr>
        <a:xfrm>
          <a:off x="1613862" y="956182"/>
          <a:ext cx="310092" cy="3627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</dsp:txBody>
      <dsp:txXfrm>
        <a:off x="1613862" y="1028732"/>
        <a:ext cx="217064" cy="217649"/>
      </dsp:txXfrm>
    </dsp:sp>
    <dsp:sp modelId="{ECABC1B1-3C0A-42A4-9C4F-3CD07E3D3E2F}">
      <dsp:nvSpPr>
        <dsp:cNvPr id="0" name=""/>
        <dsp:cNvSpPr/>
      </dsp:nvSpPr>
      <dsp:spPr>
        <a:xfrm>
          <a:off x="2052671" y="40533"/>
          <a:ext cx="1462698" cy="2194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>الاسرائيلية </a:t>
          </a:r>
          <a:br>
            <a:rPr lang="ar-IQ" sz="1200" kern="1200">
              <a:latin typeface="Traditional Arabic" pitchFamily="18" charset="-78"/>
              <a:cs typeface="Traditional Arabic" pitchFamily="18" charset="-78"/>
            </a:rPr>
          </a:br>
          <a:r>
            <a:rPr lang="he-IL" sz="1200" b="0" kern="1200">
              <a:latin typeface="Traditional Arabic" pitchFamily="18" charset="-78"/>
            </a:rPr>
            <a:t>דיבוב</a:t>
          </a: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/>
          </a:r>
          <a:br>
            <a:rPr lang="ar-IQ" sz="1200" kern="1200">
              <a:latin typeface="Traditional Arabic" pitchFamily="18" charset="-78"/>
              <a:cs typeface="Traditional Arabic" pitchFamily="18" charset="-78"/>
            </a:rPr>
          </a:br>
          <a:r>
            <a:rPr lang="en-US" sz="1200" i="1" kern="1200">
              <a:latin typeface="Traditional Arabic" pitchFamily="18" charset="-78"/>
              <a:cs typeface="Traditional Arabic" pitchFamily="18" charset="-78"/>
            </a:rPr>
            <a:t>dibúb/divúv</a:t>
          </a:r>
          <a:r>
            <a:rPr lang="ar-IQ" sz="1200" i="1" kern="1200">
              <a:latin typeface="Traditional Arabic" pitchFamily="18" charset="-78"/>
              <a:cs typeface="Traditional Arabic" pitchFamily="18" charset="-78"/>
            </a:rPr>
            <a:t/>
          </a:r>
          <a:br>
            <a:rPr lang="ar-IQ" sz="1200" i="1" kern="1200">
              <a:latin typeface="Traditional Arabic" pitchFamily="18" charset="-78"/>
              <a:cs typeface="Traditional Arabic" pitchFamily="18" charset="-78"/>
            </a:rPr>
          </a:br>
          <a:r>
            <a:rPr lang="ar-IQ" sz="1200" i="0" kern="1200">
              <a:latin typeface="Traditional Arabic" pitchFamily="18" charset="-78"/>
              <a:cs typeface="Traditional Arabic" pitchFamily="18" charset="-78"/>
            </a:rPr>
            <a:t>’دبلجة‘</a:t>
          </a:r>
        </a:p>
      </dsp:txBody>
      <dsp:txXfrm>
        <a:off x="2095512" y="83374"/>
        <a:ext cx="1377016" cy="2108365"/>
      </dsp:txXfrm>
    </dsp:sp>
    <dsp:sp modelId="{01BE17BF-4684-4AB5-8B01-C70ECDDB68B5}">
      <dsp:nvSpPr>
        <dsp:cNvPr id="0" name=""/>
        <dsp:cNvSpPr/>
      </dsp:nvSpPr>
      <dsp:spPr>
        <a:xfrm flipH="1">
          <a:off x="3663694" y="956182"/>
          <a:ext cx="305983" cy="3627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</dsp:txBody>
      <dsp:txXfrm>
        <a:off x="3755489" y="1028732"/>
        <a:ext cx="214188" cy="217649"/>
      </dsp:txXfrm>
    </dsp:sp>
    <dsp:sp modelId="{9D6FB0A1-4E28-44CD-87CB-332B41DB5D57}">
      <dsp:nvSpPr>
        <dsp:cNvPr id="0" name=""/>
        <dsp:cNvSpPr/>
      </dsp:nvSpPr>
      <dsp:spPr>
        <a:xfrm>
          <a:off x="4100449" y="40533"/>
          <a:ext cx="1462698" cy="2194047"/>
        </a:xfrm>
        <a:prstGeom prst="roundRect">
          <a:avLst>
            <a:gd name="adj" fmla="val 10000"/>
          </a:avLst>
        </a:prstGeom>
        <a:solidFill>
          <a:schemeClr val="accent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>عبرية العصور الوسطى</a:t>
          </a:r>
          <a:br>
            <a:rPr lang="ar-IQ" sz="1200" kern="1200">
              <a:latin typeface="Traditional Arabic" pitchFamily="18" charset="-78"/>
              <a:cs typeface="Traditional Arabic" pitchFamily="18" charset="-78"/>
            </a:rPr>
          </a:br>
          <a:r>
            <a:rPr lang="he-IL" sz="1200" b="0" kern="1200">
              <a:latin typeface="Traditional Arabic" pitchFamily="18" charset="-78"/>
            </a:rPr>
            <a:t>דבוב</a:t>
          </a: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/>
          </a:r>
          <a:br>
            <a:rPr lang="ar-IQ" sz="1200" kern="1200">
              <a:latin typeface="Traditional Arabic" pitchFamily="18" charset="-78"/>
              <a:cs typeface="Traditional Arabic" pitchFamily="18" charset="-78"/>
            </a:rPr>
          </a:br>
          <a:r>
            <a:rPr lang="nl-NL" sz="1200" i="1" kern="1200">
              <a:latin typeface="Traditional Arabic" pitchFamily="18" charset="-78"/>
              <a:cs typeface="Traditional Arabic" pitchFamily="18" charset="-78"/>
            </a:rPr>
            <a:t>dibbūb</a:t>
          </a:r>
          <a:r>
            <a:rPr lang="nl-NL" sz="1200" i="1" kern="1200" baseline="30000">
              <a:latin typeface="Traditional Arabic" pitchFamily="18" charset="-78"/>
              <a:cs typeface="Traditional Arabic" pitchFamily="18" charset="-78"/>
            </a:rPr>
            <a:t>h</a:t>
          </a:r>
          <a:endParaRPr lang="ar-IQ" sz="1200" i="1" kern="1200" baseline="30000">
            <a:latin typeface="Traditional Arabic" pitchFamily="18" charset="-78"/>
            <a:cs typeface="Traditional Arabic" pitchFamily="18" charset="-78"/>
          </a:endParaRPr>
        </a:p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i="0" kern="1200" baseline="0">
              <a:latin typeface="Traditional Arabic" pitchFamily="18" charset="-78"/>
              <a:cs typeface="Traditional Arabic" pitchFamily="18" charset="-78"/>
            </a:rPr>
            <a:t>’خطاب‘، ’تحريض أحد على الكلام‘ 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i="0" kern="1200" baseline="0">
              <a:latin typeface="Traditional Arabic" pitchFamily="18" charset="-78"/>
              <a:cs typeface="Traditional Arabic" pitchFamily="18" charset="-78"/>
            </a:rPr>
            <a:t>راجع عبارة </a:t>
          </a:r>
          <a:r>
            <a:rPr lang="he-IL" sz="1200" kern="1200">
              <a:latin typeface="Traditional Arabic" pitchFamily="18" charset="-78"/>
            </a:rPr>
            <a:t>דובב שׂפתי ישנים</a:t>
          </a:r>
          <a:r>
            <a:rPr lang="he-IL" sz="1200" i="1" kern="1200">
              <a:latin typeface="Traditional Arabic" pitchFamily="18" charset="-78"/>
            </a:rPr>
            <a:t> </a:t>
          </a:r>
          <a:r>
            <a:rPr lang="ar-IQ" sz="1200" i="0" kern="1200">
              <a:solidFill>
                <a:schemeClr val="bg1"/>
              </a:solidFill>
              <a:latin typeface="Traditional Arabic" pitchFamily="18" charset="-78"/>
              <a:cs typeface="Traditional Arabic" pitchFamily="18" charset="-78"/>
            </a:rPr>
            <a:t>بمعنى ’جعل شفاه النيام تتكلم‘ من أنشودة سل</a:t>
          </a:r>
          <a:r>
            <a:rPr lang="ar-IQ" sz="1200" i="0" kern="1200">
              <a:latin typeface="Traditional Arabic" pitchFamily="18" charset="-78"/>
              <a:cs typeface="Traditional Arabic" pitchFamily="18" charset="-78"/>
            </a:rPr>
            <a:t>يمان 7:10</a:t>
          </a:r>
          <a:endParaRPr lang="ar-IQ" sz="1200" i="0" kern="1200" baseline="0">
            <a:latin typeface="Traditional Arabic" pitchFamily="18" charset="-78"/>
            <a:cs typeface="Traditional Arabic" pitchFamily="18" charset="-78"/>
          </a:endParaRPr>
        </a:p>
      </dsp:txBody>
      <dsp:txXfrm>
        <a:off x="4143290" y="83374"/>
        <a:ext cx="1377016" cy="210836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12C8BC-3205-4B9B-A704-887755D79BD1}">
      <dsp:nvSpPr>
        <dsp:cNvPr id="0" name=""/>
        <dsp:cNvSpPr/>
      </dsp:nvSpPr>
      <dsp:spPr>
        <a:xfrm>
          <a:off x="5296" y="344782"/>
          <a:ext cx="1582922" cy="15855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b="0" kern="1200">
              <a:latin typeface="Traditional Arabic" pitchFamily="18" charset="-78"/>
              <a:cs typeface="Traditional Arabic" pitchFamily="18" charset="-78"/>
            </a:rPr>
            <a:t>اليديشية</a:t>
          </a:r>
          <a:br>
            <a:rPr lang="ar-IQ" sz="1200" b="0" kern="1200">
              <a:latin typeface="Traditional Arabic" pitchFamily="18" charset="-78"/>
              <a:cs typeface="Traditional Arabic" pitchFamily="18" charset="-78"/>
            </a:rPr>
          </a:br>
          <a:r>
            <a:rPr lang="he-IL" sz="1200" b="0" kern="1200">
              <a:latin typeface="Traditional Arabic" pitchFamily="18" charset="-78"/>
              <a:cs typeface="+mn-cs"/>
            </a:rPr>
            <a:t>שאַכער  מאַכער </a:t>
          </a:r>
          <a:endParaRPr lang="ar-IQ" sz="1200" b="0" kern="1200">
            <a:latin typeface="Traditional Arabic" pitchFamily="18" charset="-78"/>
            <a:cs typeface="Traditional Arabic" pitchFamily="18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i="1" kern="1200">
              <a:latin typeface="Traditional Arabic" pitchFamily="18" charset="-78"/>
              <a:cs typeface="Traditional Arabic" pitchFamily="18" charset="-78"/>
            </a:rPr>
            <a:t>shákhar mákher</a:t>
          </a:r>
          <a:r>
            <a:rPr lang="en-US" sz="1200" b="0" kern="1200">
              <a:latin typeface="Traditional Arabic" pitchFamily="18" charset="-78"/>
              <a:cs typeface="Traditional Arabic" pitchFamily="18" charset="-78"/>
            </a:rPr>
            <a:t> 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b="0" kern="1200">
              <a:latin typeface="Traditional Arabic" pitchFamily="18" charset="-78"/>
              <a:cs typeface="Traditional Arabic" pitchFamily="18" charset="-78"/>
            </a:rPr>
            <a:t>’تاجر، نصاب‘</a:t>
          </a:r>
          <a:endParaRPr lang="en-GB" sz="1200" b="0" kern="1200">
            <a:latin typeface="Traditional Arabic" pitchFamily="18" charset="-78"/>
            <a:cs typeface="Traditional Arabic" pitchFamily="18" charset="-78"/>
          </a:endParaRPr>
        </a:p>
      </dsp:txBody>
      <dsp:txXfrm>
        <a:off x="51658" y="391144"/>
        <a:ext cx="1490198" cy="1492825"/>
      </dsp:txXfrm>
    </dsp:sp>
    <dsp:sp modelId="{DF8344B8-48C7-4E5D-8BFE-C44EE1BDBF12}">
      <dsp:nvSpPr>
        <dsp:cNvPr id="0" name=""/>
        <dsp:cNvSpPr/>
      </dsp:nvSpPr>
      <dsp:spPr>
        <a:xfrm>
          <a:off x="1746510" y="941274"/>
          <a:ext cx="335579" cy="392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600" kern="1200"/>
        </a:p>
      </dsp:txBody>
      <dsp:txXfrm>
        <a:off x="1746510" y="1019787"/>
        <a:ext cx="234905" cy="235538"/>
      </dsp:txXfrm>
    </dsp:sp>
    <dsp:sp modelId="{ECABC1B1-3C0A-42A4-9C4F-3CD07E3D3E2F}">
      <dsp:nvSpPr>
        <dsp:cNvPr id="0" name=""/>
        <dsp:cNvSpPr/>
      </dsp:nvSpPr>
      <dsp:spPr>
        <a:xfrm>
          <a:off x="2221386" y="344782"/>
          <a:ext cx="1582922" cy="15855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b="0" kern="1200">
              <a:latin typeface="Traditional Arabic" pitchFamily="18" charset="-78"/>
              <a:cs typeface="Traditional Arabic" pitchFamily="18" charset="-78"/>
            </a:rPr>
            <a:t>الاسرائيلية </a:t>
          </a:r>
          <a:br>
            <a:rPr lang="ar-IQ" sz="1200" b="0" kern="1200">
              <a:latin typeface="Traditional Arabic" pitchFamily="18" charset="-78"/>
              <a:cs typeface="Traditional Arabic" pitchFamily="18" charset="-78"/>
            </a:rPr>
          </a:br>
          <a:r>
            <a:rPr lang="he-IL" sz="1200" b="0" kern="1200">
              <a:latin typeface="Traditional Arabic" pitchFamily="18" charset="-78"/>
            </a:rPr>
            <a:t>סחר מכר</a:t>
          </a:r>
          <a:r>
            <a:rPr lang="ar-IQ" sz="1200" b="0" kern="1200">
              <a:latin typeface="Traditional Arabic" pitchFamily="18" charset="-78"/>
              <a:cs typeface="Traditional Arabic" pitchFamily="18" charset="-78"/>
            </a:rPr>
            <a:t/>
          </a:r>
          <a:br>
            <a:rPr lang="ar-IQ" sz="1200" b="0" kern="1200">
              <a:latin typeface="Traditional Arabic" pitchFamily="18" charset="-78"/>
              <a:cs typeface="Traditional Arabic" pitchFamily="18" charset="-78"/>
            </a:rPr>
          </a:br>
          <a:r>
            <a:rPr lang="en-US" sz="1200" b="0" i="1" kern="1200">
              <a:latin typeface="Traditional Arabic" pitchFamily="18" charset="-78"/>
              <a:cs typeface="Traditional Arabic" pitchFamily="18" charset="-78"/>
            </a:rPr>
            <a:t>sákhar mékher/</a:t>
          </a:r>
          <a:r>
            <a:rPr lang="en-US" sz="1200" b="0" kern="1200">
              <a:latin typeface="Traditional Arabic" pitchFamily="18" charset="-78"/>
              <a:cs typeface="Traditional Arabic" pitchFamily="18" charset="-78"/>
            </a:rPr>
            <a:t> </a:t>
          </a:r>
          <a:r>
            <a:rPr lang="en-US" sz="1200" b="0" i="1" kern="1200">
              <a:latin typeface="Traditional Arabic" pitchFamily="18" charset="-78"/>
              <a:cs typeface="Traditional Arabic" pitchFamily="18" charset="-78"/>
            </a:rPr>
            <a:t>sékher mékher/ sákhar mákhar</a:t>
          </a:r>
          <a:endParaRPr lang="ar-IQ" sz="1200" b="0" i="1" kern="1200">
            <a:latin typeface="Traditional Arabic" pitchFamily="18" charset="-78"/>
            <a:cs typeface="Traditional Arabic" pitchFamily="18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b="0" i="0" kern="1200">
              <a:latin typeface="Traditional Arabic" pitchFamily="18" charset="-78"/>
              <a:cs typeface="Traditional Arabic" pitchFamily="18" charset="-78"/>
            </a:rPr>
            <a:t>’تجارة، معاملة‘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b="0" i="0" kern="1200">
              <a:latin typeface="Traditional Arabic" pitchFamily="18" charset="-78"/>
              <a:cs typeface="Traditional Arabic" pitchFamily="18" charset="-78"/>
            </a:rPr>
            <a:t>(غالباً ازدرائية)</a:t>
          </a:r>
        </a:p>
      </dsp:txBody>
      <dsp:txXfrm>
        <a:off x="2267748" y="391144"/>
        <a:ext cx="1490198" cy="1492825"/>
      </dsp:txXfrm>
    </dsp:sp>
    <dsp:sp modelId="{01BE17BF-4684-4AB5-8B01-C70ECDDB68B5}">
      <dsp:nvSpPr>
        <dsp:cNvPr id="0" name=""/>
        <dsp:cNvSpPr/>
      </dsp:nvSpPr>
      <dsp:spPr>
        <a:xfrm flipH="1">
          <a:off x="3964824" y="941274"/>
          <a:ext cx="331133" cy="392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600" kern="1200"/>
        </a:p>
      </dsp:txBody>
      <dsp:txXfrm>
        <a:off x="4064164" y="1019787"/>
        <a:ext cx="231793" cy="235538"/>
      </dsp:txXfrm>
    </dsp:sp>
    <dsp:sp modelId="{9D6FB0A1-4E28-44CD-87CB-332B41DB5D57}">
      <dsp:nvSpPr>
        <dsp:cNvPr id="0" name=""/>
        <dsp:cNvSpPr/>
      </dsp:nvSpPr>
      <dsp:spPr>
        <a:xfrm>
          <a:off x="4437477" y="344782"/>
          <a:ext cx="1582922" cy="15855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>العبرية التوراتية 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Traditional Arabic" pitchFamily="18" charset="-78"/>
              <a:cs typeface="Traditional Arabic" pitchFamily="18" charset="-78"/>
            </a:rPr>
            <a:t>saħar</a:t>
          </a: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> </a:t>
          </a:r>
          <a:r>
            <a:rPr lang="he-IL" sz="1200" b="0" kern="1200">
              <a:latin typeface="Traditional Arabic" pitchFamily="18" charset="-78"/>
            </a:rPr>
            <a:t>סחר </a:t>
          </a:r>
          <a:r>
            <a:rPr lang="ar-IQ" sz="1200" b="0" kern="1200">
              <a:latin typeface="Traditional Arabic" pitchFamily="18" charset="-78"/>
              <a:cs typeface="Traditional Arabic" pitchFamily="18" charset="-78"/>
            </a:rPr>
            <a:t>’تجارة‘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200" b="1" kern="1200">
              <a:latin typeface="Traditional Arabic" pitchFamily="18" charset="-78"/>
            </a:rPr>
            <a:t>מכר</a:t>
          </a:r>
          <a:r>
            <a:rPr lang="he-IL" sz="1200" kern="1200">
              <a:latin typeface="Traditional Arabic" pitchFamily="18" charset="-78"/>
            </a:rPr>
            <a:t> </a:t>
          </a:r>
          <a:r>
            <a:rPr lang="en-US" sz="1200" kern="1200">
              <a:latin typeface="Traditional Arabic" pitchFamily="18" charset="-78"/>
              <a:cs typeface="Traditional Arabic" pitchFamily="18" charset="-78"/>
            </a:rPr>
            <a:t>‘m</a:t>
          </a:r>
          <a:r>
            <a:rPr lang="en-US" sz="1200" kern="1200">
              <a:latin typeface="Traditional Arabic" pitchFamily="18" charset="-78"/>
              <a:cs typeface="Traditional Arabic" pitchFamily="18" charset="-78"/>
              <a:sym typeface="Symbol"/>
            </a:rPr>
            <a:t></a:t>
          </a:r>
          <a:r>
            <a:rPr lang="en-US" sz="1200" kern="1200">
              <a:latin typeface="Traditional Arabic" pitchFamily="18" charset="-78"/>
              <a:cs typeface="Traditional Arabic" pitchFamily="18" charset="-78"/>
            </a:rPr>
            <a:t>k</a:t>
          </a:r>
          <a:r>
            <a:rPr lang="en-US" sz="1200" kern="1200" baseline="30000">
              <a:latin typeface="Traditional Arabic" pitchFamily="18" charset="-78"/>
              <a:cs typeface="Traditional Arabic" pitchFamily="18" charset="-78"/>
            </a:rPr>
            <a:t>h</a:t>
          </a:r>
          <a:r>
            <a:rPr lang="en-US" sz="1200" kern="1200">
              <a:latin typeface="Traditional Arabic" pitchFamily="18" charset="-78"/>
              <a:cs typeface="Traditional Arabic" pitchFamily="18" charset="-78"/>
              <a:sym typeface="Symbol"/>
            </a:rPr>
            <a:t></a:t>
          </a:r>
          <a:r>
            <a:rPr lang="en-US" sz="1200" kern="1200">
              <a:latin typeface="Traditional Arabic" pitchFamily="18" charset="-78"/>
              <a:cs typeface="Traditional Arabic" pitchFamily="18" charset="-78"/>
            </a:rPr>
            <a:t>r</a:t>
          </a:r>
          <a:r>
            <a:rPr lang="ar-IQ" sz="1200" kern="1200">
              <a:latin typeface="Traditional Arabic" pitchFamily="18" charset="-78"/>
              <a:cs typeface="Traditional Arabic" pitchFamily="18" charset="-78"/>
            </a:rPr>
            <a:t>’بيع’</a:t>
          </a:r>
          <a:endParaRPr lang="ar-IQ" sz="1200" b="0" i="0" kern="1200" baseline="0">
            <a:latin typeface="Traditional Arabic" pitchFamily="18" charset="-78"/>
            <a:cs typeface="Traditional Arabic" pitchFamily="18" charset="-78"/>
          </a:endParaRPr>
        </a:p>
      </dsp:txBody>
      <dsp:txXfrm>
        <a:off x="4483839" y="391144"/>
        <a:ext cx="1490198" cy="1492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6BE12A-A1AC-435B-AAD6-F9CD5078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7E22E480.dotm</Template>
  <TotalTime>0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Ghil'ad Zuckermann</cp:lastModifiedBy>
  <cp:revision>3</cp:revision>
  <dcterms:created xsi:type="dcterms:W3CDTF">2016-03-10T23:08:00Z</dcterms:created>
  <dcterms:modified xsi:type="dcterms:W3CDTF">2016-03-10T23:08:00Z</dcterms:modified>
</cp:coreProperties>
</file>