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F9E" w:rsidRDefault="00027F9E" w:rsidP="00027F9E">
      <w:pPr>
        <w:pStyle w:val="xmsonormal"/>
        <w:ind w:left="-851"/>
        <w:rPr>
          <w:b/>
          <w:bCs/>
          <w:color w:val="000000"/>
          <w:shd w:val="clear" w:color="auto" w:fill="FFFFFF"/>
        </w:rPr>
      </w:pPr>
    </w:p>
    <w:p w:rsidR="00027F9E" w:rsidRPr="00027F9E" w:rsidRDefault="00027F9E" w:rsidP="00027F9E">
      <w:pPr>
        <w:pStyle w:val="xmsonormal"/>
        <w:ind w:left="-851"/>
        <w:rPr>
          <w:b/>
          <w:bCs/>
          <w:color w:val="000000"/>
          <w:shd w:val="clear" w:color="auto" w:fill="FFFFFF"/>
        </w:rPr>
      </w:pPr>
      <w:r w:rsidRPr="00027F9E">
        <w:rPr>
          <w:b/>
          <w:bCs/>
          <w:color w:val="000000"/>
          <w:shd w:val="clear" w:color="auto" w:fill="FFFFFF"/>
        </w:rPr>
        <w:t>GUEST PARKING PROCESS</w:t>
      </w:r>
    </w:p>
    <w:p w:rsidR="00027F9E" w:rsidRDefault="00027F9E" w:rsidP="00027F9E">
      <w:pPr>
        <w:pStyle w:val="xmsonormal"/>
        <w:ind w:left="-851"/>
        <w:rPr>
          <w:shd w:val="clear" w:color="auto" w:fill="FFFFFF"/>
        </w:rPr>
      </w:pPr>
    </w:p>
    <w:p w:rsidR="00027F9E" w:rsidRDefault="00027F9E" w:rsidP="00027F9E">
      <w:pPr>
        <w:pStyle w:val="xmsonormal"/>
        <w:ind w:left="-851"/>
      </w:pPr>
      <w:r>
        <w:rPr>
          <w:b/>
          <w:bCs/>
          <w:color w:val="333333"/>
          <w:shd w:val="clear" w:color="auto" w:fill="FFFFFF"/>
        </w:rPr>
        <w:t xml:space="preserve">STEP 1 – </w:t>
      </w:r>
      <w:r>
        <w:rPr>
          <w:color w:val="000000"/>
          <w:shd w:val="clear" w:color="auto" w:fill="FFFFFF"/>
        </w:rPr>
        <w:t>Please c</w:t>
      </w:r>
      <w:r>
        <w:rPr>
          <w:color w:val="333333"/>
          <w:shd w:val="clear" w:color="auto" w:fill="FFFFFF"/>
        </w:rPr>
        <w:t>omplete the table below ensur</w:t>
      </w:r>
      <w:r>
        <w:rPr>
          <w:color w:val="000000"/>
          <w:shd w:val="clear" w:color="auto" w:fill="FFFFFF"/>
        </w:rPr>
        <w:t>ing</w:t>
      </w:r>
      <w:r>
        <w:rPr>
          <w:color w:val="333333"/>
          <w:shd w:val="clear" w:color="auto" w:fill="FFFFFF"/>
        </w:rPr>
        <w:t xml:space="preserve"> all field</w:t>
      </w:r>
      <w:r>
        <w:rPr>
          <w:color w:val="000000"/>
          <w:shd w:val="clear" w:color="auto" w:fill="FFFFFF"/>
        </w:rPr>
        <w:t>s</w:t>
      </w:r>
      <w:r>
        <w:rPr>
          <w:color w:val="333333"/>
          <w:shd w:val="clear" w:color="auto" w:fill="FFFFFF"/>
        </w:rPr>
        <w:t xml:space="preserve"> are completed as these are all required fields in the vPermit system (separate entry for each session).</w:t>
      </w:r>
    </w:p>
    <w:p w:rsidR="00027F9E" w:rsidRDefault="00027F9E" w:rsidP="00027F9E">
      <w:pPr>
        <w:pStyle w:val="xmsonormal"/>
        <w:ind w:left="-851"/>
      </w:pPr>
      <w:r>
        <w:rPr>
          <w:b/>
          <w:bCs/>
          <w:color w:val="333333"/>
          <w:shd w:val="clear" w:color="auto" w:fill="FFFFFF"/>
        </w:rPr>
        <w:t xml:space="preserve">STEP 2 – </w:t>
      </w:r>
      <w:r>
        <w:rPr>
          <w:color w:val="333333"/>
          <w:shd w:val="clear" w:color="auto" w:fill="FFFFFF"/>
        </w:rPr>
        <w:t xml:space="preserve">Submit completed form to </w:t>
      </w:r>
      <w:hyperlink r:id="rId7" w:history="1">
        <w:r>
          <w:rPr>
            <w:rStyle w:val="Hyperlink"/>
            <w:shd w:val="clear" w:color="auto" w:fill="FFFFFF"/>
          </w:rPr>
          <w:t>cnhs.operations@flinders.edu.au</w:t>
        </w:r>
      </w:hyperlink>
      <w:r>
        <w:rPr>
          <w:color w:val="333333"/>
          <w:shd w:val="clear" w:color="auto" w:fill="FFFFFF"/>
        </w:rPr>
        <w:t xml:space="preserve"> at least 3 business days prior to the date the guest permit is requested.</w:t>
      </w:r>
    </w:p>
    <w:p w:rsidR="00027F9E" w:rsidRDefault="00027F9E" w:rsidP="00027F9E">
      <w:pPr>
        <w:pStyle w:val="xmsonormal"/>
        <w:ind w:left="-851"/>
      </w:pPr>
      <w:r>
        <w:rPr>
          <w:b/>
          <w:bCs/>
          <w:color w:val="333333"/>
          <w:shd w:val="clear" w:color="auto" w:fill="FFFFFF"/>
        </w:rPr>
        <w:t>STEP 3 - An</w:t>
      </w:r>
      <w:r>
        <w:rPr>
          <w:color w:val="333333"/>
          <w:shd w:val="clear" w:color="auto" w:fill="FFFFFF"/>
        </w:rPr>
        <w:t xml:space="preserve"> electronic confirmation of the visitor parking permit will be emailed by CNHS Operations to the email address provided on the request and copied to the requeste</w:t>
      </w:r>
      <w:r>
        <w:rPr>
          <w:color w:val="000000"/>
          <w:shd w:val="clear" w:color="auto" w:fill="FFFFFF"/>
        </w:rPr>
        <w:t>r</w:t>
      </w:r>
      <w:r>
        <w:rPr>
          <w:color w:val="333333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It is noted some requesters may </w:t>
      </w:r>
      <w:r>
        <w:rPr>
          <w:color w:val="333333"/>
          <w:shd w:val="clear" w:color="auto" w:fill="FFFFFF"/>
        </w:rPr>
        <w:t xml:space="preserve">prefer to list their own email </w:t>
      </w:r>
      <w:r>
        <w:rPr>
          <w:color w:val="000000"/>
          <w:shd w:val="clear" w:color="auto" w:fill="FFFFFF"/>
        </w:rPr>
        <w:t xml:space="preserve">for privacy/project purposes which is permitted. It is however noted </w:t>
      </w:r>
      <w:proofErr w:type="gramStart"/>
      <w:r>
        <w:rPr>
          <w:color w:val="000000"/>
          <w:shd w:val="clear" w:color="auto" w:fill="FFFFFF"/>
        </w:rPr>
        <w:t>this transfers</w:t>
      </w:r>
      <w:proofErr w:type="gramEnd"/>
      <w:r>
        <w:rPr>
          <w:color w:val="000000"/>
          <w:shd w:val="clear" w:color="auto" w:fill="FFFFFF"/>
        </w:rPr>
        <w:t xml:space="preserve"> the responsibility to the requester to provide the guest with the parking permit and rules with regard to parking on campus, including the </w:t>
      </w:r>
      <w:r>
        <w:rPr>
          <w:color w:val="333333"/>
          <w:shd w:val="clear" w:color="auto" w:fill="FFFFFF"/>
        </w:rPr>
        <w:t>Parking</w:t>
      </w:r>
      <w:r>
        <w:rPr>
          <w:b/>
          <w:bCs/>
          <w:lang w:val="en-US"/>
        </w:rPr>
        <w:t xml:space="preserve"> Information</w:t>
      </w:r>
      <w:r>
        <w:rPr>
          <w:lang w:val="en-US"/>
        </w:rPr>
        <w:t xml:space="preserve"> detail below</w:t>
      </w:r>
      <w:r>
        <w:rPr>
          <w:color w:val="333333"/>
          <w:shd w:val="clear" w:color="auto" w:fill="FFFFFF"/>
        </w:rPr>
        <w:t>.</w:t>
      </w:r>
    </w:p>
    <w:p w:rsidR="00027F9E" w:rsidRDefault="00027F9E" w:rsidP="00027F9E">
      <w:pPr>
        <w:pStyle w:val="xmsonormal"/>
        <w:ind w:left="-851"/>
      </w:pPr>
    </w:p>
    <w:tbl>
      <w:tblPr>
        <w:tblW w:w="15593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2197"/>
        <w:gridCol w:w="1417"/>
        <w:gridCol w:w="1276"/>
        <w:gridCol w:w="1134"/>
        <w:gridCol w:w="1276"/>
        <w:gridCol w:w="1417"/>
        <w:gridCol w:w="1201"/>
        <w:gridCol w:w="1948"/>
        <w:gridCol w:w="1812"/>
      </w:tblGrid>
      <w:tr w:rsidR="00027F9E" w:rsidTr="00027F9E">
        <w:trPr>
          <w:trHeight w:val="487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9E" w:rsidRDefault="00027F9E">
            <w:pPr>
              <w:jc w:val="center"/>
            </w:pPr>
            <w:r>
              <w:t>Guest’s Full Name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9E" w:rsidRDefault="00027F9E">
            <w:pPr>
              <w:jc w:val="center"/>
            </w:pPr>
            <w:r>
              <w:t>Guest’s E-Mail</w:t>
            </w:r>
          </w:p>
          <w:p w:rsidR="00027F9E" w:rsidRDefault="00027F9E">
            <w:pPr>
              <w:jc w:val="center"/>
            </w:pPr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if</w:t>
            </w:r>
            <w:proofErr w:type="gramEnd"/>
            <w:r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not known, this will default to the requester’s email)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9E" w:rsidRDefault="00027F9E">
            <w:pPr>
              <w:jc w:val="center"/>
            </w:pPr>
            <w:r>
              <w:t>Vehicle Registration No.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9E" w:rsidRDefault="00027F9E">
            <w:pPr>
              <w:jc w:val="center"/>
            </w:pPr>
            <w:r>
              <w:t>Date Required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9E" w:rsidRDefault="00027F9E">
            <w:pPr>
              <w:jc w:val="center"/>
            </w:pPr>
            <w:r>
              <w:t>Start Time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9E" w:rsidRDefault="00027F9E">
            <w:pPr>
              <w:jc w:val="center"/>
            </w:pPr>
            <w:r>
              <w:t>End Time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2CC"/>
            <w:hideMark/>
          </w:tcPr>
          <w:p w:rsidR="00027F9E" w:rsidRDefault="00027F9E">
            <w:pPr>
              <w:jc w:val="center"/>
              <w:rPr>
                <w:highlight w:val="lightGray"/>
              </w:rPr>
            </w:pPr>
            <w:r>
              <w:rPr>
                <w:color w:val="000000"/>
              </w:rPr>
              <w:t>Zone General: (Long term)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2CC"/>
            <w:hideMark/>
          </w:tcPr>
          <w:p w:rsidR="00027F9E" w:rsidRDefault="00027F9E">
            <w:pPr>
              <w:jc w:val="center"/>
              <w:rPr>
                <w:highlight w:val="lightGray"/>
              </w:rPr>
            </w:pPr>
            <w:r>
              <w:rPr>
                <w:color w:val="000000"/>
              </w:rPr>
              <w:t>Zone: 2P (maximum 2 hours)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9E" w:rsidRDefault="00027F9E">
            <w:pPr>
              <w:jc w:val="center"/>
            </w:pPr>
            <w:r>
              <w:t>Project Account Code (01.xxx.xxxxx.2107)</w:t>
            </w:r>
          </w:p>
          <w:p w:rsidR="00027F9E" w:rsidRDefault="00027F9E">
            <w:pPr>
              <w:jc w:val="center"/>
            </w:pPr>
            <w:r>
              <w:t xml:space="preserve">Parking rate 3.15 per hour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27F9E" w:rsidRDefault="00027F9E">
            <w:pPr>
              <w:jc w:val="center"/>
            </w:pPr>
            <w:r>
              <w:rPr>
                <w:color w:val="333333"/>
                <w:shd w:val="clear" w:color="auto" w:fill="FFFFFF"/>
              </w:rPr>
              <w:t>Expense authoriser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(name of account holder/delegate)</w:t>
            </w:r>
          </w:p>
        </w:tc>
      </w:tr>
      <w:tr w:rsidR="00027F9E" w:rsidTr="00027F9E">
        <w:trPr>
          <w:trHeight w:val="15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>
            <w:pPr>
              <w:rPr>
                <w:highlight w:val="lightGray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>
            <w:pPr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>
            <w:pPr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>
            <w:pPr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>
            <w:pPr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>
            <w:pPr>
              <w:rPr>
                <w:highlight w:val="lightGray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/>
            <w:hideMark/>
          </w:tcPr>
          <w:p w:rsidR="00027F9E" w:rsidRDefault="00027F9E">
            <w:pPr>
              <w:jc w:val="center"/>
            </w:pPr>
            <w:r>
              <w:rPr>
                <w:color w:val="000000"/>
                <w:sz w:val="20"/>
                <w:szCs w:val="20"/>
              </w:rPr>
              <w:t>Tick type requested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027F9E" w:rsidRDefault="00027F9E"/>
        </w:tc>
      </w:tr>
      <w:tr w:rsidR="00027F9E" w:rsidTr="00027F9E">
        <w:trPr>
          <w:trHeight w:val="15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</w:tr>
      <w:tr w:rsidR="00027F9E" w:rsidTr="00027F9E">
        <w:trPr>
          <w:trHeight w:val="15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</w:tr>
      <w:tr w:rsidR="00027F9E" w:rsidTr="00027F9E">
        <w:trPr>
          <w:trHeight w:val="15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</w:tr>
      <w:tr w:rsidR="00027F9E" w:rsidTr="00027F9E">
        <w:trPr>
          <w:trHeight w:val="15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</w:tr>
      <w:tr w:rsidR="00027F9E" w:rsidTr="00027F9E">
        <w:trPr>
          <w:trHeight w:val="15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F9E" w:rsidRDefault="00027F9E">
            <w:pPr>
              <w:rPr>
                <w:i/>
                <w:iCs/>
              </w:rPr>
            </w:pPr>
            <w:r>
              <w:rPr>
                <w:i/>
                <w:iCs/>
                <w:color w:val="A6A6A6"/>
              </w:rPr>
              <w:t>Add rows if required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9E" w:rsidRDefault="00027F9E"/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E" w:rsidRDefault="00027F9E"/>
        </w:tc>
      </w:tr>
    </w:tbl>
    <w:p w:rsidR="00027F9E" w:rsidRPr="00027F9E" w:rsidRDefault="00027F9E" w:rsidP="00027F9E">
      <w:pPr>
        <w:pStyle w:val="NormalWeb"/>
        <w:spacing w:before="120" w:beforeAutospacing="0" w:after="60" w:afterAutospacing="0"/>
        <w:rPr>
          <w:rFonts w:ascii="Arial" w:hAnsi="Arial" w:cs="Arial"/>
          <w:sz w:val="12"/>
          <w:szCs w:val="12"/>
          <w:lang w:val="en-US"/>
        </w:rPr>
      </w:pPr>
    </w:p>
    <w:p w:rsidR="00027F9E" w:rsidRDefault="00027F9E" w:rsidP="00027F9E">
      <w:pPr>
        <w:pStyle w:val="NormalWeb"/>
        <w:numPr>
          <w:ilvl w:val="0"/>
          <w:numId w:val="1"/>
        </w:numPr>
        <w:spacing w:before="0" w:beforeAutospacing="0" w:after="60" w:afterAutospacing="0"/>
        <w:ind w:left="-851" w:firstLine="0"/>
        <w:rPr>
          <w:lang w:val="en-US"/>
        </w:rPr>
      </w:pPr>
      <w:r>
        <w:rPr>
          <w:lang w:val="en-US"/>
        </w:rPr>
        <w:t xml:space="preserve">Guest permits can be used to park in General (white) bays for all day parking, or 2P bays (for short term parking, maximum 2-hour). </w:t>
      </w:r>
    </w:p>
    <w:p w:rsidR="00027F9E" w:rsidRDefault="00027F9E" w:rsidP="00027F9E">
      <w:pPr>
        <w:pStyle w:val="NormalWeb"/>
        <w:numPr>
          <w:ilvl w:val="0"/>
          <w:numId w:val="1"/>
        </w:numPr>
        <w:spacing w:before="0" w:beforeAutospacing="0" w:afterAutospacing="0"/>
        <w:ind w:left="-851" w:firstLine="0"/>
        <w:rPr>
          <w:lang w:val="en-US"/>
        </w:rPr>
      </w:pPr>
      <w:r>
        <w:rPr>
          <w:lang w:val="en-US"/>
        </w:rPr>
        <w:t xml:space="preserve">Guest permits cannot be used to park in (business) blue bays.  </w:t>
      </w:r>
    </w:p>
    <w:p w:rsidR="00027F9E" w:rsidRDefault="00027F9E" w:rsidP="00027F9E">
      <w:pPr>
        <w:pStyle w:val="NormalWeb"/>
        <w:numPr>
          <w:ilvl w:val="0"/>
          <w:numId w:val="1"/>
        </w:numPr>
        <w:spacing w:before="0" w:beforeAutospacing="0" w:afterAutospacing="0"/>
        <w:ind w:left="-851" w:firstLine="0"/>
        <w:rPr>
          <w:lang w:val="en-US"/>
        </w:rPr>
      </w:pPr>
      <w:r>
        <w:rPr>
          <w:lang w:val="en-US"/>
        </w:rPr>
        <w:t>Please do not park prior to the start time of your permit, and ensure you leave the bay prior to the end time.</w:t>
      </w:r>
    </w:p>
    <w:p w:rsidR="00027F9E" w:rsidRDefault="00027F9E" w:rsidP="00027F9E">
      <w:pPr>
        <w:pStyle w:val="NormalWeb"/>
        <w:numPr>
          <w:ilvl w:val="0"/>
          <w:numId w:val="1"/>
        </w:numPr>
        <w:spacing w:before="0" w:beforeAutospacing="0" w:afterAutospacing="0"/>
        <w:ind w:left="-851" w:firstLine="0"/>
        <w:rPr>
          <w:lang w:val="en-US"/>
        </w:rPr>
      </w:pPr>
      <w:r>
        <w:rPr>
          <w:lang w:val="en-US"/>
        </w:rPr>
        <w:t>Parking incorrectly is likely to result in a fine being imposed and the College accepts no responsibility for paying expiation notices.</w:t>
      </w:r>
    </w:p>
    <w:p w:rsidR="00027F9E" w:rsidRDefault="00027F9E" w:rsidP="00027F9E">
      <w:pPr>
        <w:pStyle w:val="NormalWeb"/>
        <w:numPr>
          <w:ilvl w:val="0"/>
          <w:numId w:val="1"/>
        </w:numPr>
        <w:spacing w:before="0" w:beforeAutospacing="0" w:afterAutospacing="0"/>
        <w:ind w:left="-851" w:firstLine="0"/>
        <w:rPr>
          <w:lang w:val="en-US"/>
        </w:rPr>
      </w:pPr>
      <w:r>
        <w:rPr>
          <w:lang w:val="en-US"/>
        </w:rPr>
        <w:t xml:space="preserve">Helpful links to parking locations, </w:t>
      </w:r>
      <w:proofErr w:type="gramStart"/>
      <w:r>
        <w:rPr>
          <w:lang w:val="en-US"/>
        </w:rPr>
        <w:t>maps</w:t>
      </w:r>
      <w:proofErr w:type="gramEnd"/>
      <w:r>
        <w:rPr>
          <w:lang w:val="en-US"/>
        </w:rPr>
        <w:t xml:space="preserve"> and live time availability:</w:t>
      </w:r>
    </w:p>
    <w:p w:rsidR="00027F9E" w:rsidRDefault="00027F9E" w:rsidP="00027F9E">
      <w:pPr>
        <w:pStyle w:val="NormalWeb"/>
        <w:numPr>
          <w:ilvl w:val="1"/>
          <w:numId w:val="1"/>
        </w:numPr>
        <w:ind w:left="-851" w:firstLine="0"/>
        <w:rPr>
          <w:lang w:val="en-US"/>
        </w:rPr>
      </w:pPr>
      <w:r>
        <w:rPr>
          <w:lang w:val="en-US"/>
        </w:rPr>
        <w:t xml:space="preserve">Where can I park?: </w:t>
      </w:r>
      <w:hyperlink r:id="rId8" w:history="1">
        <w:r>
          <w:rPr>
            <w:rStyle w:val="Hyperlink"/>
            <w:lang w:val="en-US"/>
          </w:rPr>
          <w:t>https://www.flinders.edu.au/content/dam/documents/campus/bedford-park/parking/flinders-university-where-can-i-park.pdf</w:t>
        </w:r>
      </w:hyperlink>
      <w:r>
        <w:rPr>
          <w:lang w:val="en-US"/>
        </w:rPr>
        <w:t xml:space="preserve"> </w:t>
      </w:r>
    </w:p>
    <w:p w:rsidR="00027F9E" w:rsidRDefault="00027F9E" w:rsidP="00027F9E">
      <w:pPr>
        <w:pStyle w:val="NormalWeb"/>
        <w:numPr>
          <w:ilvl w:val="1"/>
          <w:numId w:val="1"/>
        </w:numPr>
        <w:ind w:left="-851" w:firstLine="0"/>
        <w:rPr>
          <w:lang w:val="en-US"/>
        </w:rPr>
      </w:pPr>
      <w:r>
        <w:rPr>
          <w:lang w:val="en-US"/>
        </w:rPr>
        <w:t xml:space="preserve">Campus Map with Parking number identified: </w:t>
      </w:r>
      <w:hyperlink r:id="rId9" w:history="1">
        <w:r>
          <w:rPr>
            <w:rStyle w:val="Hyperlink"/>
            <w:lang w:val="en-US"/>
          </w:rPr>
          <w:t>https://www.flinders.edu.au/content/dam/documents/campus/maps/campus-map.pdf</w:t>
        </w:r>
      </w:hyperlink>
      <w:r>
        <w:rPr>
          <w:lang w:val="en-US"/>
        </w:rPr>
        <w:t xml:space="preserve"> </w:t>
      </w:r>
    </w:p>
    <w:p w:rsidR="00027F9E" w:rsidRPr="00027F9E" w:rsidRDefault="00027F9E" w:rsidP="00027F9E">
      <w:pPr>
        <w:pStyle w:val="NormalWeb"/>
        <w:numPr>
          <w:ilvl w:val="1"/>
          <w:numId w:val="1"/>
        </w:numPr>
        <w:ind w:left="-851" w:firstLine="0"/>
        <w:rPr>
          <w:lang w:val="en-US"/>
        </w:rPr>
      </w:pPr>
      <w:r w:rsidRPr="00027F9E">
        <w:rPr>
          <w:lang w:val="en-US"/>
        </w:rPr>
        <w:lastRenderedPageBreak/>
        <w:t xml:space="preserve">Car Park Availability (Live Time): </w:t>
      </w:r>
      <w:hyperlink r:id="rId10" w:history="1">
        <w:r w:rsidRPr="00027F9E">
          <w:rPr>
            <w:rStyle w:val="Hyperlink"/>
            <w:lang w:val="en-US"/>
          </w:rPr>
          <w:t>https://vpermit.com.au/parkavail/flinders</w:t>
        </w:r>
      </w:hyperlink>
      <w:r w:rsidRPr="00027F9E">
        <w:rPr>
          <w:lang w:val="en-US"/>
        </w:rPr>
        <w:t xml:space="preserve"> </w:t>
      </w:r>
    </w:p>
    <w:sectPr w:rsidR="00027F9E" w:rsidRPr="00027F9E" w:rsidSect="00027F9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F9E" w:rsidRDefault="00027F9E" w:rsidP="00027F9E">
      <w:r>
        <w:separator/>
      </w:r>
    </w:p>
  </w:endnote>
  <w:endnote w:type="continuationSeparator" w:id="0">
    <w:p w:rsidR="00027F9E" w:rsidRDefault="00027F9E" w:rsidP="0002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F9E" w:rsidRDefault="00027F9E" w:rsidP="00027F9E">
      <w:r>
        <w:separator/>
      </w:r>
    </w:p>
  </w:footnote>
  <w:footnote w:type="continuationSeparator" w:id="0">
    <w:p w:rsidR="00027F9E" w:rsidRDefault="00027F9E" w:rsidP="0002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F9E" w:rsidRDefault="00027F9E" w:rsidP="00027F9E">
    <w:pPr>
      <w:ind w:hanging="99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B57054" wp14:editId="75A31B7B">
          <wp:simplePos x="0" y="0"/>
          <wp:positionH relativeFrom="column">
            <wp:posOffset>-647700</wp:posOffset>
          </wp:positionH>
          <wp:positionV relativeFrom="paragraph">
            <wp:posOffset>-266700</wp:posOffset>
          </wp:positionV>
          <wp:extent cx="3701901" cy="561975"/>
          <wp:effectExtent l="0" t="0" r="0" b="0"/>
          <wp:wrapNone/>
          <wp:docPr id="1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701901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623D24" wp14:editId="0CD04082">
              <wp:simplePos x="0" y="0"/>
              <wp:positionH relativeFrom="page">
                <wp:align>left</wp:align>
              </wp:positionH>
              <wp:positionV relativeFrom="paragraph">
                <wp:posOffset>-523875</wp:posOffset>
              </wp:positionV>
              <wp:extent cx="11258550" cy="981075"/>
              <wp:effectExtent l="0" t="0" r="0" b="952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58550" cy="981075"/>
                      </a:xfrm>
                      <a:prstGeom prst="rect">
                        <a:avLst/>
                      </a:prstGeom>
                      <a:gradFill>
                        <a:gsLst>
                          <a:gs pos="22000">
                            <a:srgbClr val="FBD200"/>
                          </a:gs>
                          <a:gs pos="50000">
                            <a:srgbClr val="FDDB31"/>
                          </a:gs>
                          <a:gs pos="85000">
                            <a:srgbClr val="FFED93"/>
                          </a:gs>
                        </a:gsLst>
                        <a:lin ang="4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172F00" id="Rectangle 1" o:spid="_x0000_s1026" style="position:absolute;margin-left:0;margin-top:-41.25pt;width:886.5pt;height:77.2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" fillcolor="#fbd200" stroked="f" strokeweight="1pt">
              <v:fill color2="#ffed93" angle="10" colors="0 #fbd200;14418f #fbd200;.5 #fddb31" focus="100%" type="gradient">
                <o:fill v:ext="view" type="gradientUnscaled"/>
              </v:fill>
              <w10:wrap anchorx="page"/>
            </v:rect>
          </w:pict>
        </mc:Fallback>
      </mc:AlternateContent>
    </w:r>
  </w:p>
  <w:p w:rsidR="00027F9E" w:rsidRDefault="00027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25F4A"/>
    <w:multiLevelType w:val="hybridMultilevel"/>
    <w:tmpl w:val="9F422824"/>
    <w:lvl w:ilvl="0" w:tplc="2E827888">
      <w:start w:val="1"/>
      <w:numFmt w:val="bullet"/>
      <w:lvlText w:val="*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888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9E"/>
    <w:rsid w:val="00027F9E"/>
    <w:rsid w:val="008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6DBA"/>
  <w15:chartTrackingRefBased/>
  <w15:docId w15:val="{1FAF69BF-411F-4EC0-BA02-30A9834C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9E"/>
  </w:style>
  <w:style w:type="paragraph" w:styleId="Footer">
    <w:name w:val="footer"/>
    <w:basedOn w:val="Normal"/>
    <w:link w:val="FooterChar"/>
    <w:uiPriority w:val="99"/>
    <w:unhideWhenUsed/>
    <w:rsid w:val="00027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9E"/>
  </w:style>
  <w:style w:type="character" w:styleId="Hyperlink">
    <w:name w:val="Hyperlink"/>
    <w:basedOn w:val="DefaultParagraphFont"/>
    <w:uiPriority w:val="99"/>
    <w:semiHidden/>
    <w:unhideWhenUsed/>
    <w:rsid w:val="00027F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7F9E"/>
    <w:pPr>
      <w:spacing w:before="100" w:beforeAutospacing="1" w:after="100" w:afterAutospacing="1"/>
    </w:pPr>
    <w:rPr>
      <w:rFonts w:ascii="Calibri" w:hAnsi="Calibri" w:cs="Calibri"/>
      <w:lang w:eastAsia="en-AU"/>
    </w:rPr>
  </w:style>
  <w:style w:type="paragraph" w:customStyle="1" w:styleId="xmsonormal">
    <w:name w:val="x_msonormal"/>
    <w:basedOn w:val="Normal"/>
    <w:uiPriority w:val="99"/>
    <w:semiHidden/>
    <w:rsid w:val="00027F9E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nders.edu.au/content/dam/documents/campus/bedford-park/parking/flinders-university-where-can-i-par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nhs.operations@flinders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permit.com.au/parkavail/fli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nders.edu.au/content/dam/documents/campus/maps/campus-m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Haynes</dc:creator>
  <cp:keywords/>
  <dc:description/>
  <cp:lastModifiedBy>Cheryl Haynes</cp:lastModifiedBy>
  <cp:revision>1</cp:revision>
  <dcterms:created xsi:type="dcterms:W3CDTF">2023-04-13T04:17:00Z</dcterms:created>
  <dcterms:modified xsi:type="dcterms:W3CDTF">2023-04-13T04:26:00Z</dcterms:modified>
</cp:coreProperties>
</file>